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6" w:rsidRDefault="00410136" w:rsidP="00410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0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410136" w:rsidRPr="0082480F" w:rsidTr="00157A21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410136" w:rsidRPr="0082480F" w:rsidRDefault="00410136" w:rsidP="00157A21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2480F">
              <w:rPr>
                <w:sz w:val="26"/>
                <w:szCs w:val="26"/>
              </w:rPr>
              <w:t>УНИЦИПАЛЬНЫЙ КОМИТЕТ</w:t>
            </w:r>
          </w:p>
          <w:p w:rsidR="00410136" w:rsidRPr="0082480F" w:rsidRDefault="00410136" w:rsidP="00157A21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410136" w:rsidRPr="0082480F" w:rsidRDefault="00410136" w:rsidP="00157A21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410136" w:rsidRPr="00EC4904" w:rsidRDefault="00410136" w:rsidP="00157A21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410136" w:rsidRPr="0082480F" w:rsidRDefault="00410136" w:rsidP="00157A21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10136" w:rsidRPr="0082480F" w:rsidTr="00157A21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410136" w:rsidRPr="003F77D6" w:rsidRDefault="00410136" w:rsidP="00157A2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.2019 </w:t>
            </w:r>
          </w:p>
        </w:tc>
        <w:tc>
          <w:tcPr>
            <w:tcW w:w="4502" w:type="dxa"/>
            <w:gridSpan w:val="2"/>
            <w:hideMark/>
          </w:tcPr>
          <w:p w:rsidR="00410136" w:rsidRPr="003F77D6" w:rsidRDefault="00410136" w:rsidP="00157A2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AB456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с. Золотая Долина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410136" w:rsidRPr="00EC4904" w:rsidRDefault="00410136" w:rsidP="00157A2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="00AB4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</w:t>
            </w: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  <w:tr w:rsidR="00410136" w:rsidRPr="0082480F" w:rsidTr="00157A21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10136" w:rsidRDefault="00410136" w:rsidP="00157A21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муниципальный правовой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т 18 декабря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>№ 31-МПА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2019 год и плановый период 2020 и 2021 годов», принятый решением Муниципального комитета Золот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10136" w:rsidRPr="0082480F" w:rsidRDefault="00410136" w:rsidP="00157A21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E11C2B" w:rsidRPr="0082480F" w:rsidRDefault="00E11C2B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470" w:rsidRPr="00442470" w:rsidRDefault="00442470" w:rsidP="0044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11C2B" w:rsidRDefault="00E11C2B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442470" w:rsidRDefault="00442470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520D94" w:rsidRDefault="00E209E3" w:rsidP="00EC4904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623ACF">
        <w:rPr>
          <w:rFonts w:ascii="Times New Roman" w:hAnsi="Times New Roman" w:cs="Times New Roman"/>
        </w:rPr>
        <w:t>00</w:t>
      </w:r>
      <w:r w:rsidR="006E5B50">
        <w:rPr>
          <w:rFonts w:ascii="Times New Roman" w:hAnsi="Times New Roman" w:cs="Times New Roman"/>
        </w:rPr>
        <w:t>.12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623ACF">
        <w:rPr>
          <w:rFonts w:ascii="Times New Roman" w:hAnsi="Times New Roman" w:cs="Times New Roman"/>
        </w:rPr>
        <w:t>00</w:t>
      </w:r>
      <w:r w:rsidR="00520D94">
        <w:rPr>
          <w:rFonts w:ascii="Times New Roman" w:hAnsi="Times New Roman" w:cs="Times New Roman"/>
        </w:rPr>
        <w:t>-МПА</w:t>
      </w:r>
    </w:p>
    <w:p w:rsidR="00E209E3" w:rsidRPr="00705A04" w:rsidRDefault="00E209E3" w:rsidP="00EC4904">
      <w:pPr>
        <w:spacing w:after="0" w:line="240" w:lineRule="auto"/>
      </w:pP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</w:t>
      </w:r>
      <w:r w:rsidR="00623ACF">
        <w:rPr>
          <w:sz w:val="26"/>
          <w:szCs w:val="26"/>
        </w:rPr>
        <w:t>1</w:t>
      </w:r>
      <w:r w:rsidR="00703AD2">
        <w:rPr>
          <w:sz w:val="26"/>
          <w:szCs w:val="26"/>
        </w:rPr>
        <w:t> </w:t>
      </w:r>
      <w:r w:rsidR="00623ACF">
        <w:rPr>
          <w:sz w:val="26"/>
          <w:szCs w:val="26"/>
        </w:rPr>
        <w:t>030 565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2F7231">
        <w:rPr>
          <w:sz w:val="26"/>
          <w:szCs w:val="26"/>
        </w:rPr>
        <w:t>678</w:t>
      </w:r>
      <w:r w:rsidR="003900AE">
        <w:rPr>
          <w:sz w:val="26"/>
          <w:szCs w:val="26"/>
        </w:rPr>
        <w:t xml:space="preserve">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11 </w:t>
      </w:r>
      <w:r w:rsidR="00623ACF">
        <w:rPr>
          <w:sz w:val="26"/>
          <w:szCs w:val="26"/>
        </w:rPr>
        <w:t>160</w:t>
      </w:r>
      <w:r w:rsidR="00703AD2">
        <w:rPr>
          <w:sz w:val="26"/>
          <w:szCs w:val="26"/>
        </w:rPr>
        <w:t xml:space="preserve"> </w:t>
      </w:r>
      <w:r w:rsidR="00623ACF">
        <w:rPr>
          <w:sz w:val="26"/>
          <w:szCs w:val="26"/>
        </w:rPr>
        <w:t>901</w:t>
      </w:r>
      <w:r w:rsidR="001C0C0B">
        <w:rPr>
          <w:sz w:val="26"/>
          <w:szCs w:val="26"/>
        </w:rPr>
        <w:t xml:space="preserve"> рубл</w:t>
      </w:r>
      <w:r w:rsidR="00623ACF">
        <w:rPr>
          <w:sz w:val="26"/>
          <w:szCs w:val="26"/>
        </w:rPr>
        <w:t>ь</w:t>
      </w:r>
      <w:r w:rsidRPr="00E93A64">
        <w:rPr>
          <w:sz w:val="26"/>
          <w:szCs w:val="26"/>
        </w:rPr>
        <w:t xml:space="preserve"> </w:t>
      </w:r>
      <w:r w:rsidR="00623ACF">
        <w:rPr>
          <w:sz w:val="26"/>
          <w:szCs w:val="26"/>
        </w:rPr>
        <w:t>00</w:t>
      </w:r>
      <w:r w:rsidR="00E93A64" w:rsidRPr="00E93A64">
        <w:rPr>
          <w:sz w:val="26"/>
          <w:szCs w:val="26"/>
        </w:rPr>
        <w:t xml:space="preserve"> копе</w:t>
      </w:r>
      <w:r w:rsidR="00623ACF">
        <w:rPr>
          <w:sz w:val="26"/>
          <w:szCs w:val="26"/>
        </w:rPr>
        <w:t>ек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623ACF">
        <w:rPr>
          <w:sz w:val="26"/>
          <w:szCs w:val="26"/>
        </w:rPr>
        <w:t>130 335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623ACF">
        <w:rPr>
          <w:sz w:val="26"/>
          <w:szCs w:val="26"/>
        </w:rPr>
        <w:t>49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904" w:rsidRDefault="00623ACF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6E5B50">
        <w:rPr>
          <w:rFonts w:ascii="Times New Roman" w:hAnsi="Times New Roman" w:cs="Times New Roman"/>
          <w:sz w:val="26"/>
          <w:szCs w:val="26"/>
        </w:rPr>
        <w:t>.12.</w:t>
      </w:r>
      <w:r w:rsidR="00EC4904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23AC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AD5DB7" w:rsidRDefault="00AD5DB7" w:rsidP="00B2018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B20181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E601F3" w:rsidRPr="00E601F3" w:rsidRDefault="00CA6016" w:rsidP="00B2018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623ACF">
        <w:rPr>
          <w:rFonts w:ascii="Times New Roman" w:hAnsi="Times New Roman" w:cs="Times New Roman"/>
        </w:rPr>
        <w:t>00</w:t>
      </w:r>
      <w:r w:rsidR="00520D94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 xml:space="preserve">.2019 № </w:t>
      </w:r>
      <w:r w:rsidR="00623ACF">
        <w:rPr>
          <w:rFonts w:ascii="Times New Roman" w:hAnsi="Times New Roman" w:cs="Times New Roman"/>
        </w:rPr>
        <w:t>00</w:t>
      </w:r>
      <w:r w:rsidR="00AD5DB7">
        <w:rPr>
          <w:rFonts w:ascii="Times New Roman" w:hAnsi="Times New Roman" w:cs="Times New Roman"/>
        </w:rPr>
        <w:t xml:space="preserve"> –МПА</w:t>
      </w:r>
    </w:p>
    <w:p w:rsidR="00B20181" w:rsidRDefault="00B20181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623ACF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130 335,49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703A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703AD2">
              <w:rPr>
                <w:rFonts w:ascii="Times New Roman" w:hAnsi="Times New Roman" w:cs="Times New Roman"/>
              </w:rPr>
              <w:t>1</w:t>
            </w:r>
            <w:r w:rsidR="00623ACF">
              <w:rPr>
                <w:rFonts w:ascii="Times New Roman" w:hAnsi="Times New Roman" w:cs="Times New Roman"/>
              </w:rPr>
              <w:t>1 030 565,51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AD2">
              <w:rPr>
                <w:rFonts w:ascii="Times New Roman" w:hAnsi="Times New Roman" w:cs="Times New Roman"/>
              </w:rPr>
              <w:t>1</w:t>
            </w:r>
            <w:r w:rsidR="00623ACF">
              <w:rPr>
                <w:rFonts w:ascii="Times New Roman" w:hAnsi="Times New Roman" w:cs="Times New Roman"/>
              </w:rPr>
              <w:t> 160 901,00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623ACF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130 335,49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D648D6">
            <w:pPr>
              <w:spacing w:after="0" w:line="240" w:lineRule="auto"/>
              <w:ind w:left="4853"/>
              <w:jc w:val="right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BD7DD8" w:rsidRDefault="00BD7DD8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703AD2" w:rsidRDefault="00703AD2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703AD2" w:rsidRDefault="00703AD2" w:rsidP="00D648D6">
            <w:pPr>
              <w:pStyle w:val="ac"/>
              <w:ind w:left="4853"/>
              <w:jc w:val="right"/>
              <w:rPr>
                <w:sz w:val="20"/>
                <w:szCs w:val="20"/>
              </w:rPr>
            </w:pPr>
          </w:p>
          <w:p w:rsidR="00F76665" w:rsidRPr="009D537D" w:rsidRDefault="00D701B2" w:rsidP="00D648D6">
            <w:pPr>
              <w:pStyle w:val="ac"/>
              <w:ind w:left="48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6665"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D648D6">
            <w:pPr>
              <w:pStyle w:val="ac"/>
              <w:ind w:left="48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D648D6">
            <w:pPr>
              <w:pStyle w:val="ac"/>
              <w:ind w:left="48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D648D6">
            <w:pPr>
              <w:pStyle w:val="ac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23A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.2019 №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A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D648D6">
            <w:pPr>
              <w:spacing w:after="0" w:line="240" w:lineRule="auto"/>
              <w:ind w:left="48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050" w:type="dxa"/>
              <w:tblLook w:val="04A0"/>
            </w:tblPr>
            <w:tblGrid>
              <w:gridCol w:w="2606"/>
              <w:gridCol w:w="5953"/>
              <w:gridCol w:w="1491"/>
            </w:tblGrid>
            <w:tr w:rsidR="00623ACF" w:rsidRPr="00623ACF" w:rsidTr="00D701B2">
              <w:trPr>
                <w:trHeight w:val="693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23ACF" w:rsidRPr="00623ACF" w:rsidTr="00D701B2">
              <w:trPr>
                <w:trHeight w:val="21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3 352 060,00</w:t>
                  </w:r>
                </w:p>
              </w:tc>
            </w:tr>
            <w:tr w:rsidR="00623ACF" w:rsidRPr="00623ACF" w:rsidTr="00D701B2">
              <w:trPr>
                <w:trHeight w:val="24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816 000,00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816 000,00</w:t>
                  </w:r>
                </w:p>
              </w:tc>
            </w:tr>
            <w:tr w:rsidR="00623ACF" w:rsidRPr="00623ACF" w:rsidTr="00D701B2">
              <w:trPr>
                <w:trHeight w:val="111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810 000,00</w:t>
                  </w:r>
                </w:p>
              </w:tc>
            </w:tr>
            <w:tr w:rsidR="00623ACF" w:rsidRPr="00623ACF" w:rsidTr="00623ACF">
              <w:trPr>
                <w:trHeight w:val="945"/>
              </w:trPr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73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</w:t>
                  </w:r>
                  <w:r w:rsidR="00D701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28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2 312 000,00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623ACF" w:rsidRPr="00623ACF" w:rsidTr="00D701B2">
              <w:trPr>
                <w:trHeight w:val="66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1 962 000,00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352 000,00</w:t>
                  </w:r>
                </w:p>
              </w:tc>
            </w:tr>
            <w:tr w:rsidR="00623ACF" w:rsidRPr="00623ACF" w:rsidTr="00D701B2">
              <w:trPr>
                <w:trHeight w:val="45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1 610 000,00</w:t>
                  </w:r>
                </w:p>
              </w:tc>
            </w:tr>
            <w:tr w:rsidR="00623ACF" w:rsidRPr="00623ACF" w:rsidTr="00D701B2">
              <w:trPr>
                <w:trHeight w:val="45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1 610 000,00</w:t>
                  </w:r>
                </w:p>
              </w:tc>
            </w:tr>
            <w:tr w:rsidR="00623ACF" w:rsidRPr="00623ACF" w:rsidTr="00D701B2">
              <w:trPr>
                <w:trHeight w:val="72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28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1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12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42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95 000,00</w:t>
                  </w:r>
                </w:p>
              </w:tc>
            </w:tr>
            <w:tr w:rsidR="00623ACF" w:rsidRPr="00623ACF" w:rsidTr="00D701B2">
              <w:trPr>
                <w:trHeight w:val="23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D701B2">
              <w:trPr>
                <w:trHeight w:val="26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1 13 01990 00 0000 130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D701B2">
              <w:trPr>
                <w:trHeight w:val="42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D701B2">
              <w:trPr>
                <w:trHeight w:val="19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1 13 02990 00 0000 130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D701B2">
              <w:trPr>
                <w:trHeight w:val="3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1 13 02995 10 0000 130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69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1 16 51000 02 0000 140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84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17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18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23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7 678 505,51</w:t>
                  </w:r>
                </w:p>
              </w:tc>
            </w:tr>
            <w:tr w:rsidR="00623ACF" w:rsidRPr="00623ACF" w:rsidTr="00D701B2">
              <w:trPr>
                <w:trHeight w:val="40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7 678 505,51</w:t>
                  </w:r>
                </w:p>
              </w:tc>
            </w:tr>
            <w:tr w:rsidR="00623ACF" w:rsidRPr="00623ACF" w:rsidTr="00D701B2">
              <w:trPr>
                <w:trHeight w:val="21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24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40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37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2 729 613,91</w:t>
                  </w:r>
                </w:p>
              </w:tc>
            </w:tr>
            <w:tr w:rsidR="00623ACF" w:rsidRPr="00623ACF" w:rsidTr="00D701B2">
              <w:trPr>
                <w:trHeight w:val="29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157A21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A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157A21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A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623ACF" w:rsidRPr="00623ACF" w:rsidTr="00D701B2">
              <w:trPr>
                <w:trHeight w:val="41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157A21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A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157A21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7A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623ACF" w:rsidRPr="00623ACF" w:rsidTr="00D701B2">
              <w:trPr>
                <w:trHeight w:val="36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1 397 038,13</w:t>
                  </w:r>
                </w:p>
              </w:tc>
            </w:tr>
            <w:tr w:rsidR="00623ACF" w:rsidRPr="00623ACF" w:rsidTr="00D701B2">
              <w:trPr>
                <w:trHeight w:val="47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1 397 038,13</w:t>
                  </w:r>
                </w:p>
              </w:tc>
            </w:tr>
            <w:tr w:rsidR="00623ACF" w:rsidRPr="00623ACF" w:rsidTr="00D701B2">
              <w:trPr>
                <w:trHeight w:val="2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623ACF" w:rsidRPr="00623ACF" w:rsidTr="00D701B2">
              <w:trPr>
                <w:trHeight w:val="29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623ACF" w:rsidRPr="00623ACF" w:rsidTr="00D701B2">
              <w:trPr>
                <w:trHeight w:val="13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D701B2">
              <w:trPr>
                <w:trHeight w:val="42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623ACF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24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470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13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11 030 565,51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Pr="00BA51C3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D701B2">
        <w:rPr>
          <w:rFonts w:ascii="Times New Roman" w:hAnsi="Times New Roman" w:cs="Times New Roman"/>
          <w:sz w:val="20"/>
          <w:szCs w:val="20"/>
        </w:rPr>
        <w:t>00</w:t>
      </w:r>
      <w:r w:rsidR="002313AA"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 w:rsidR="002313AA">
        <w:rPr>
          <w:rFonts w:ascii="Times New Roman" w:hAnsi="Times New Roman" w:cs="Times New Roman"/>
          <w:sz w:val="20"/>
          <w:szCs w:val="20"/>
        </w:rPr>
        <w:t xml:space="preserve"> </w:t>
      </w:r>
      <w:r w:rsidR="00D701B2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Default="00897AEB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431C7" w:rsidRDefault="00C431C7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96" w:type="dxa"/>
        <w:tblLook w:val="04A0"/>
      </w:tblPr>
      <w:tblGrid>
        <w:gridCol w:w="9180"/>
      </w:tblGrid>
      <w:tr w:rsidR="00C431C7" w:rsidRPr="00C431C7" w:rsidTr="00C431C7">
        <w:trPr>
          <w:trHeight w:val="300"/>
        </w:trPr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C431C7" w:rsidRP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непрограммным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31C7" w:rsidRPr="00C431C7" w:rsidTr="00C431C7">
        <w:trPr>
          <w:trHeight w:val="765"/>
        </w:trPr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C7" w:rsidRPr="00C431C7" w:rsidRDefault="00C431C7" w:rsidP="00C4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31C7" w:rsidRPr="00BA51C3" w:rsidRDefault="00C431C7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96" w:type="dxa"/>
        <w:tblLook w:val="04A0"/>
      </w:tblPr>
      <w:tblGrid>
        <w:gridCol w:w="4681"/>
        <w:gridCol w:w="760"/>
        <w:gridCol w:w="1239"/>
        <w:gridCol w:w="660"/>
        <w:gridCol w:w="1840"/>
      </w:tblGrid>
      <w:tr w:rsidR="00D701B2" w:rsidRPr="00D701B2" w:rsidTr="00D701B2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701B2" w:rsidRPr="00D701B2" w:rsidTr="00D701B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4 748 157,74</w:t>
            </w:r>
          </w:p>
        </w:tc>
      </w:tr>
      <w:tr w:rsidR="00D701B2" w:rsidRPr="00D701B2" w:rsidTr="00D701B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D701B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1 701 541,55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D701B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10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D701B2" w:rsidRPr="00D701B2" w:rsidTr="00D701B2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2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D701B2">
        <w:trPr>
          <w:trHeight w:val="2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2 791 789,96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2 791 789,96</w:t>
            </w:r>
          </w:p>
        </w:tc>
      </w:tr>
      <w:tr w:rsidR="00D701B2" w:rsidRPr="00D701B2" w:rsidTr="00D701B2">
        <w:trPr>
          <w:trHeight w:val="6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72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D701B2">
        <w:trPr>
          <w:trHeight w:val="12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2 616 013,33</w:t>
            </w:r>
          </w:p>
        </w:tc>
      </w:tr>
      <w:tr w:rsidR="00D701B2" w:rsidRPr="00D701B2" w:rsidTr="00D701B2">
        <w:trPr>
          <w:trHeight w:val="10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D701B2" w:rsidRPr="00D701B2" w:rsidTr="00D701B2">
        <w:trPr>
          <w:trHeight w:val="6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D701B2">
        <w:trPr>
          <w:trHeight w:val="3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D701B2">
        <w:trPr>
          <w:trHeight w:val="5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D701B2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D701B2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1 211 954,91</w:t>
            </w:r>
          </w:p>
        </w:tc>
      </w:tr>
      <w:tr w:rsidR="00D701B2" w:rsidRPr="00D701B2" w:rsidTr="00D701B2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1 211 954,91</w:t>
            </w:r>
          </w:p>
        </w:tc>
      </w:tr>
      <w:tr w:rsidR="00D701B2" w:rsidRPr="00D701B2" w:rsidTr="00D701B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D701B2">
        <w:trPr>
          <w:trHeight w:val="4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D701B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D701B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D701B2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D701B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</w:tr>
      <w:tr w:rsidR="00D701B2" w:rsidRPr="00D701B2" w:rsidTr="00D701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D701B2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D701B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2 550 200,00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D701B2" w:rsidRPr="00D701B2" w:rsidTr="00D701B2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D701B2" w:rsidRPr="00D701B2" w:rsidTr="00D701B2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1B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D701B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1B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D701B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D701B2">
        <w:trPr>
          <w:trHeight w:val="2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D701B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11 160 901,00</w:t>
            </w:r>
          </w:p>
        </w:tc>
      </w:tr>
    </w:tbl>
    <w:p w:rsidR="00B738A6" w:rsidRDefault="00B738A6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</w:t>
      </w:r>
      <w:r w:rsidR="00D701B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01B2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B805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7" w:type="dxa"/>
        <w:tblInd w:w="96" w:type="dxa"/>
        <w:tblLayout w:type="fixed"/>
        <w:tblLook w:val="04A0"/>
      </w:tblPr>
      <w:tblGrid>
        <w:gridCol w:w="4072"/>
        <w:gridCol w:w="1043"/>
        <w:gridCol w:w="783"/>
        <w:gridCol w:w="1344"/>
        <w:gridCol w:w="873"/>
        <w:gridCol w:w="1642"/>
      </w:tblGrid>
      <w:tr w:rsidR="00D701B2" w:rsidRPr="00D701B2" w:rsidTr="00843077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01B2" w:rsidRPr="00D701B2" w:rsidTr="00843077">
        <w:trPr>
          <w:trHeight w:val="34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6 082 701,00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2 870 157,74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42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D701B2" w:rsidRPr="00D701B2" w:rsidTr="00843077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1 701 541,55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1 701 541,55</w:t>
            </w:r>
          </w:p>
        </w:tc>
      </w:tr>
      <w:tr w:rsidR="00D701B2" w:rsidRPr="00D701B2" w:rsidTr="00843077">
        <w:trPr>
          <w:trHeight w:val="133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D701B2" w:rsidRPr="00D701B2" w:rsidTr="00843077">
        <w:trPr>
          <w:trHeight w:val="5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843077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135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25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27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701B2" w:rsidRPr="00D701B2" w:rsidTr="00843077">
        <w:trPr>
          <w:trHeight w:val="2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23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843077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701B2" w:rsidRPr="00D701B2" w:rsidTr="00843077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20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4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6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2 791 789,96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2 791 789,96</w:t>
            </w:r>
          </w:p>
        </w:tc>
      </w:tr>
      <w:tr w:rsidR="00D701B2" w:rsidRPr="00D701B2" w:rsidTr="00843077">
        <w:trPr>
          <w:trHeight w:val="8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63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4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D701B2" w:rsidRPr="00D701B2" w:rsidTr="00843077">
        <w:trPr>
          <w:trHeight w:val="62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63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D701B2" w:rsidRPr="00D701B2" w:rsidTr="00843077">
        <w:trPr>
          <w:trHeight w:val="199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2 616 013,33</w:t>
            </w:r>
          </w:p>
        </w:tc>
      </w:tr>
      <w:tr w:rsidR="00D701B2" w:rsidRPr="00D701B2" w:rsidTr="00843077">
        <w:trPr>
          <w:trHeight w:val="1393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D701B2" w:rsidRPr="00D701B2" w:rsidTr="00843077">
        <w:trPr>
          <w:trHeight w:val="97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D701B2" w:rsidRPr="00D701B2" w:rsidTr="00843077">
        <w:trPr>
          <w:trHeight w:val="143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1 211 954,91</w:t>
            </w:r>
          </w:p>
        </w:tc>
      </w:tr>
      <w:tr w:rsidR="00D701B2" w:rsidRPr="00D701B2" w:rsidTr="00843077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1 211 954,91</w:t>
            </w:r>
          </w:p>
        </w:tc>
      </w:tr>
      <w:tr w:rsidR="00D701B2" w:rsidRPr="00D701B2" w:rsidTr="00843077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843077">
        <w:trPr>
          <w:trHeight w:val="5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701B2" w:rsidRPr="00D701B2" w:rsidTr="00843077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843077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701B2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D701B2" w:rsidRPr="00D701B2" w:rsidTr="00843077">
        <w:trPr>
          <w:trHeight w:val="13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D701B2" w:rsidRPr="00D701B2" w:rsidTr="00843077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2 550 200,00</w:t>
            </w:r>
          </w:p>
        </w:tc>
      </w:tr>
      <w:tr w:rsidR="00D701B2" w:rsidRPr="00D701B2" w:rsidTr="00843077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D701B2" w:rsidRPr="00D701B2" w:rsidTr="00843077">
        <w:trPr>
          <w:trHeight w:val="5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D701B2" w:rsidRPr="00D701B2" w:rsidTr="00843077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D701B2" w:rsidRPr="00D701B2" w:rsidTr="00843077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D701B2" w:rsidRPr="00D701B2" w:rsidTr="00843077">
        <w:trPr>
          <w:trHeight w:val="72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01B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843077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843077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843077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843077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843077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1B2" w:rsidRPr="00D701B2" w:rsidRDefault="00D701B2" w:rsidP="00D7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701B2" w:rsidRPr="00D701B2" w:rsidTr="00843077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1B2" w:rsidRPr="00D701B2" w:rsidRDefault="00D701B2" w:rsidP="00D7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B2" w:rsidRPr="00D701B2" w:rsidRDefault="00D701B2" w:rsidP="00D70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11 160 901,00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077" w:rsidRDefault="00843077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Pr="00E676D6" w:rsidRDefault="00F222C6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C3F12" w:rsidRPr="00E676D6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84307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 w:rsidR="00843077">
        <w:rPr>
          <w:rFonts w:ascii="Times New Roman" w:hAnsi="Times New Roman" w:cs="Times New Roman"/>
          <w:sz w:val="20"/>
          <w:szCs w:val="20"/>
        </w:rPr>
        <w:t xml:space="preserve"> 00 </w:t>
      </w:r>
      <w:r w:rsidRPr="00BA51C3">
        <w:rPr>
          <w:rFonts w:ascii="Times New Roman" w:hAnsi="Times New Roman" w:cs="Times New Roman"/>
          <w:sz w:val="20"/>
          <w:szCs w:val="20"/>
        </w:rPr>
        <w:t>–МПА</w:t>
      </w:r>
    </w:p>
    <w:p w:rsidR="00CC3F12" w:rsidRPr="00E676D6" w:rsidRDefault="00CC3F1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lastRenderedPageBreak/>
        <w:t>Приложение № 12</w:t>
      </w:r>
    </w:p>
    <w:p w:rsidR="00CC3F12" w:rsidRPr="00E676D6" w:rsidRDefault="00CC3F12" w:rsidP="00B80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6" w:type="dxa"/>
        <w:tblInd w:w="96" w:type="dxa"/>
        <w:tblLook w:val="04A0"/>
      </w:tblPr>
      <w:tblGrid>
        <w:gridCol w:w="1049"/>
        <w:gridCol w:w="3887"/>
        <w:gridCol w:w="1836"/>
        <w:gridCol w:w="1335"/>
        <w:gridCol w:w="1979"/>
      </w:tblGrid>
      <w:tr w:rsidR="00843077" w:rsidRPr="00843077" w:rsidTr="00B805BE">
        <w:trPr>
          <w:trHeight w:val="47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07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0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0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0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077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9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83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97 933,38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83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78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122 578,05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64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53 198,58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467C01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BE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</w:t>
            </w:r>
            <w:r w:rsidR="00843077"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43077" w:rsidRPr="00843077" w:rsidTr="00B805BE">
        <w:trPr>
          <w:trHeight w:val="139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843077" w:rsidRPr="00843077" w:rsidTr="00B805BE">
        <w:trPr>
          <w:trHeight w:val="86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843077" w:rsidRPr="00843077" w:rsidTr="00B805BE">
        <w:trPr>
          <w:trHeight w:val="95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43077" w:rsidRPr="00843077" w:rsidTr="00B805BE">
        <w:trPr>
          <w:trHeight w:val="14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43077" w:rsidRPr="00843077" w:rsidTr="00B805BE">
        <w:trPr>
          <w:trHeight w:val="1561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43077" w:rsidRPr="00843077" w:rsidTr="00B805BE">
        <w:trPr>
          <w:trHeight w:val="5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43077" w:rsidRPr="00843077" w:rsidTr="00B805BE">
        <w:trPr>
          <w:trHeight w:val="81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43077" w:rsidRPr="00843077" w:rsidTr="00B805BE">
        <w:trPr>
          <w:trHeight w:val="164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2 616 013,33</w:t>
            </w:r>
          </w:p>
        </w:tc>
      </w:tr>
      <w:tr w:rsidR="00843077" w:rsidRPr="00843077" w:rsidTr="00B805BE">
        <w:trPr>
          <w:trHeight w:val="167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1 404 058,42</w:t>
            </w:r>
          </w:p>
        </w:tc>
      </w:tr>
      <w:tr w:rsidR="00843077" w:rsidRPr="00843077" w:rsidTr="00B805BE">
        <w:trPr>
          <w:trHeight w:val="107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843077" w:rsidRPr="00843077" w:rsidTr="00B805BE">
        <w:trPr>
          <w:trHeight w:val="81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843077" w:rsidRPr="00843077" w:rsidTr="00B805BE">
        <w:trPr>
          <w:trHeight w:val="84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843077" w:rsidRPr="00843077" w:rsidTr="00B805BE">
        <w:trPr>
          <w:trHeight w:val="175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1 211 954,91</w:t>
            </w:r>
          </w:p>
        </w:tc>
      </w:tr>
      <w:tr w:rsidR="00843077" w:rsidRPr="00843077" w:rsidTr="00B805BE">
        <w:trPr>
          <w:trHeight w:val="184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1 211 954,91</w:t>
            </w:r>
          </w:p>
        </w:tc>
      </w:tr>
      <w:tr w:rsidR="00843077" w:rsidRPr="00843077" w:rsidTr="00B805BE">
        <w:trPr>
          <w:trHeight w:val="11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5,2,1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43077" w:rsidRPr="00843077" w:rsidTr="00B805BE">
        <w:trPr>
          <w:trHeight w:val="101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43077" w:rsidRPr="00843077" w:rsidTr="00B805BE">
        <w:trPr>
          <w:trHeight w:val="159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11 954,91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11 954,91</w:t>
            </w:r>
          </w:p>
        </w:tc>
      </w:tr>
      <w:tr w:rsidR="00843077" w:rsidRPr="00843077" w:rsidTr="00B805BE">
        <w:trPr>
          <w:trHeight w:val="56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234F52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843077" w:rsidRPr="00843077">
              <w:rPr>
                <w:rFonts w:ascii="Times New Roman" w:eastAsia="Times New Roman" w:hAnsi="Times New Roman" w:cs="Times New Roman"/>
                <w:b/>
                <w:bCs/>
              </w:rPr>
              <w:t>6 089 923,34</w:t>
            </w:r>
          </w:p>
        </w:tc>
      </w:tr>
      <w:tr w:rsidR="00843077" w:rsidRPr="00843077" w:rsidTr="00B805BE">
        <w:trPr>
          <w:trHeight w:val="93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5 070 977,66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5 070 977,66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5 070 977,66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1 053 616,19</w:t>
            </w:r>
          </w:p>
        </w:tc>
      </w:tr>
      <w:tr w:rsidR="00843077" w:rsidRPr="00843077" w:rsidTr="00B805BE">
        <w:trPr>
          <w:trHeight w:val="174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1 701 541,55</w:t>
            </w:r>
          </w:p>
        </w:tc>
      </w:tr>
      <w:tr w:rsidR="00843077" w:rsidRPr="00843077" w:rsidTr="00B805BE">
        <w:trPr>
          <w:trHeight w:val="16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843077" w:rsidRPr="00843077" w:rsidTr="00B805BE">
        <w:trPr>
          <w:trHeight w:val="74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96 836,03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43077" w:rsidRPr="00843077" w:rsidTr="00B805BE">
        <w:trPr>
          <w:trHeight w:val="177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843077" w:rsidRPr="00843077" w:rsidTr="00B805BE">
        <w:trPr>
          <w:trHeight w:val="171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843077" w:rsidRPr="00843077" w:rsidTr="00B805BE">
        <w:trPr>
          <w:trHeight w:val="83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843077" w:rsidRPr="00843077" w:rsidTr="00B805BE">
        <w:trPr>
          <w:trHeight w:val="83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843077" w:rsidRPr="00843077" w:rsidTr="00B805BE">
        <w:trPr>
          <w:trHeight w:val="14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843077" w:rsidRPr="00843077" w:rsidTr="00B805BE">
        <w:trPr>
          <w:trHeight w:val="76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43077" w:rsidRPr="00843077" w:rsidTr="00B805BE">
        <w:trPr>
          <w:trHeight w:val="84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77" w:rsidRPr="00843077" w:rsidRDefault="00843077" w:rsidP="0084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45 157,92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45 157,92</w:t>
            </w:r>
          </w:p>
        </w:tc>
      </w:tr>
      <w:tr w:rsidR="00843077" w:rsidRPr="00843077" w:rsidTr="00B805BE">
        <w:trPr>
          <w:trHeight w:val="50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07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3077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843077" w:rsidRPr="00843077" w:rsidTr="00B805BE">
        <w:trPr>
          <w:trHeight w:val="2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0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77" w:rsidRPr="00843077" w:rsidRDefault="00843077" w:rsidP="0084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77">
              <w:rPr>
                <w:rFonts w:ascii="Times New Roman" w:eastAsia="Times New Roman" w:hAnsi="Times New Roman" w:cs="Times New Roman"/>
                <w:b/>
                <w:bCs/>
              </w:rPr>
              <w:t>11 160 901,00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B4" w:rsidRDefault="004365B4" w:rsidP="00E601F3">
      <w:pPr>
        <w:spacing w:after="0" w:line="240" w:lineRule="auto"/>
      </w:pPr>
      <w:r>
        <w:separator/>
      </w:r>
    </w:p>
  </w:endnote>
  <w:endnote w:type="continuationSeparator" w:id="1">
    <w:p w:rsidR="004365B4" w:rsidRDefault="004365B4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B4" w:rsidRDefault="004365B4" w:rsidP="00E601F3">
      <w:pPr>
        <w:spacing w:after="0" w:line="240" w:lineRule="auto"/>
      </w:pPr>
      <w:r>
        <w:separator/>
      </w:r>
    </w:p>
  </w:footnote>
  <w:footnote w:type="continuationSeparator" w:id="1">
    <w:p w:rsidR="004365B4" w:rsidRDefault="004365B4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157A21" w:rsidRDefault="007F331B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157A21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B805BE">
          <w:rPr>
            <w:noProof/>
            <w:sz w:val="20"/>
          </w:rPr>
          <w:t>2</w:t>
        </w:r>
        <w:r w:rsidRPr="004550A6">
          <w:rPr>
            <w:sz w:val="20"/>
          </w:rPr>
          <w:fldChar w:fldCharType="end"/>
        </w:r>
      </w:p>
    </w:sdtContent>
  </w:sdt>
  <w:p w:rsidR="00157A21" w:rsidRDefault="00157A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42C1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73CC8"/>
    <w:rsid w:val="00083805"/>
    <w:rsid w:val="00083B4B"/>
    <w:rsid w:val="00084FB4"/>
    <w:rsid w:val="000A1911"/>
    <w:rsid w:val="000B16F1"/>
    <w:rsid w:val="000B445D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0873"/>
    <w:rsid w:val="001116D2"/>
    <w:rsid w:val="00111FF1"/>
    <w:rsid w:val="001213FA"/>
    <w:rsid w:val="0012223F"/>
    <w:rsid w:val="00133AAB"/>
    <w:rsid w:val="00157A21"/>
    <w:rsid w:val="001624FA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1D5B37"/>
    <w:rsid w:val="0020276F"/>
    <w:rsid w:val="00204E16"/>
    <w:rsid w:val="002127C9"/>
    <w:rsid w:val="0022126A"/>
    <w:rsid w:val="002313AA"/>
    <w:rsid w:val="00231D5C"/>
    <w:rsid w:val="00234F52"/>
    <w:rsid w:val="00236689"/>
    <w:rsid w:val="00243F72"/>
    <w:rsid w:val="00254204"/>
    <w:rsid w:val="00262CF6"/>
    <w:rsid w:val="0027070F"/>
    <w:rsid w:val="002746AD"/>
    <w:rsid w:val="002841AB"/>
    <w:rsid w:val="00285F3F"/>
    <w:rsid w:val="002A60E5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2C91"/>
    <w:rsid w:val="003342B3"/>
    <w:rsid w:val="0033463E"/>
    <w:rsid w:val="0033651E"/>
    <w:rsid w:val="00350CE2"/>
    <w:rsid w:val="00364E7B"/>
    <w:rsid w:val="00364FE2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B7DE5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5ABD"/>
    <w:rsid w:val="00406172"/>
    <w:rsid w:val="00406F43"/>
    <w:rsid w:val="00407A64"/>
    <w:rsid w:val="00410136"/>
    <w:rsid w:val="004364B7"/>
    <w:rsid w:val="004365B4"/>
    <w:rsid w:val="00442470"/>
    <w:rsid w:val="00446FB6"/>
    <w:rsid w:val="004550A6"/>
    <w:rsid w:val="00467C01"/>
    <w:rsid w:val="00471B9E"/>
    <w:rsid w:val="00472A4C"/>
    <w:rsid w:val="004815CD"/>
    <w:rsid w:val="004830D1"/>
    <w:rsid w:val="00492904"/>
    <w:rsid w:val="0049362B"/>
    <w:rsid w:val="004947C8"/>
    <w:rsid w:val="004967C5"/>
    <w:rsid w:val="00497652"/>
    <w:rsid w:val="004A0552"/>
    <w:rsid w:val="004A2C43"/>
    <w:rsid w:val="004A450B"/>
    <w:rsid w:val="004A5752"/>
    <w:rsid w:val="004B38C7"/>
    <w:rsid w:val="004B45DB"/>
    <w:rsid w:val="004C20B6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0D94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E1611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3ACF"/>
    <w:rsid w:val="0062436F"/>
    <w:rsid w:val="00634B77"/>
    <w:rsid w:val="00634DE1"/>
    <w:rsid w:val="0063674A"/>
    <w:rsid w:val="00644B23"/>
    <w:rsid w:val="006505C7"/>
    <w:rsid w:val="006546D5"/>
    <w:rsid w:val="00657E58"/>
    <w:rsid w:val="00661BE2"/>
    <w:rsid w:val="00677544"/>
    <w:rsid w:val="006B4B40"/>
    <w:rsid w:val="006C2060"/>
    <w:rsid w:val="006C2BC4"/>
    <w:rsid w:val="006C3E26"/>
    <w:rsid w:val="006E10F0"/>
    <w:rsid w:val="006E5B50"/>
    <w:rsid w:val="006E7DC3"/>
    <w:rsid w:val="006F533C"/>
    <w:rsid w:val="006F5CE1"/>
    <w:rsid w:val="007007E5"/>
    <w:rsid w:val="00703AD2"/>
    <w:rsid w:val="007202B6"/>
    <w:rsid w:val="0072310F"/>
    <w:rsid w:val="00725A02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1F89"/>
    <w:rsid w:val="007F331B"/>
    <w:rsid w:val="008005F8"/>
    <w:rsid w:val="00804F93"/>
    <w:rsid w:val="008139C0"/>
    <w:rsid w:val="0081463B"/>
    <w:rsid w:val="0082480F"/>
    <w:rsid w:val="0083483C"/>
    <w:rsid w:val="00843077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B7C62"/>
    <w:rsid w:val="008C2475"/>
    <w:rsid w:val="008C5D11"/>
    <w:rsid w:val="008C625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23C68"/>
    <w:rsid w:val="0093509B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0393"/>
    <w:rsid w:val="009F687D"/>
    <w:rsid w:val="00A0084E"/>
    <w:rsid w:val="00A016DE"/>
    <w:rsid w:val="00A07A64"/>
    <w:rsid w:val="00A11278"/>
    <w:rsid w:val="00A202D0"/>
    <w:rsid w:val="00A30051"/>
    <w:rsid w:val="00A41D95"/>
    <w:rsid w:val="00A55F1C"/>
    <w:rsid w:val="00A62373"/>
    <w:rsid w:val="00A6281A"/>
    <w:rsid w:val="00A66E82"/>
    <w:rsid w:val="00A67A39"/>
    <w:rsid w:val="00A8024C"/>
    <w:rsid w:val="00A867A0"/>
    <w:rsid w:val="00A94CB6"/>
    <w:rsid w:val="00AA2428"/>
    <w:rsid w:val="00AB456C"/>
    <w:rsid w:val="00AC74F9"/>
    <w:rsid w:val="00AD43D9"/>
    <w:rsid w:val="00AD5DB7"/>
    <w:rsid w:val="00AE7A32"/>
    <w:rsid w:val="00AF0E22"/>
    <w:rsid w:val="00AF4956"/>
    <w:rsid w:val="00AF6853"/>
    <w:rsid w:val="00B03A0B"/>
    <w:rsid w:val="00B03AFE"/>
    <w:rsid w:val="00B1084A"/>
    <w:rsid w:val="00B1151F"/>
    <w:rsid w:val="00B164AD"/>
    <w:rsid w:val="00B20181"/>
    <w:rsid w:val="00B27319"/>
    <w:rsid w:val="00B33E3F"/>
    <w:rsid w:val="00B34BFF"/>
    <w:rsid w:val="00B5486A"/>
    <w:rsid w:val="00B55C7F"/>
    <w:rsid w:val="00B57698"/>
    <w:rsid w:val="00B738A6"/>
    <w:rsid w:val="00B73B5B"/>
    <w:rsid w:val="00B74868"/>
    <w:rsid w:val="00B7750B"/>
    <w:rsid w:val="00B805BE"/>
    <w:rsid w:val="00B81E7B"/>
    <w:rsid w:val="00B97FE3"/>
    <w:rsid w:val="00BA51C3"/>
    <w:rsid w:val="00BA5DEE"/>
    <w:rsid w:val="00BA6B80"/>
    <w:rsid w:val="00BB50ED"/>
    <w:rsid w:val="00BC3160"/>
    <w:rsid w:val="00BC7EFA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0B97"/>
    <w:rsid w:val="00C22647"/>
    <w:rsid w:val="00C30192"/>
    <w:rsid w:val="00C356F8"/>
    <w:rsid w:val="00C431C7"/>
    <w:rsid w:val="00C4355F"/>
    <w:rsid w:val="00C6337F"/>
    <w:rsid w:val="00C63B4D"/>
    <w:rsid w:val="00C67B0D"/>
    <w:rsid w:val="00C76674"/>
    <w:rsid w:val="00C77E4C"/>
    <w:rsid w:val="00C77E56"/>
    <w:rsid w:val="00C80D11"/>
    <w:rsid w:val="00C825E3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648D6"/>
    <w:rsid w:val="00D701B2"/>
    <w:rsid w:val="00D701EF"/>
    <w:rsid w:val="00D74BD1"/>
    <w:rsid w:val="00D76491"/>
    <w:rsid w:val="00D769D0"/>
    <w:rsid w:val="00D87D1A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19CB"/>
    <w:rsid w:val="00E11C2B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67931"/>
    <w:rsid w:val="00E83420"/>
    <w:rsid w:val="00E93A64"/>
    <w:rsid w:val="00E94B82"/>
    <w:rsid w:val="00EA0381"/>
    <w:rsid w:val="00EA228C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22C6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9554E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555-3372-42E2-AEAF-A0A1B8A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7770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2019-10-24T03:29:00Z</cp:lastPrinted>
  <dcterms:created xsi:type="dcterms:W3CDTF">2019-03-26T01:40:00Z</dcterms:created>
  <dcterms:modified xsi:type="dcterms:W3CDTF">2019-12-13T03:05:00Z</dcterms:modified>
</cp:coreProperties>
</file>