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2A" w:rsidRPr="00137AA2" w:rsidRDefault="00222A2A" w:rsidP="00222A2A">
      <w:pPr>
        <w:pStyle w:val="Bodytext50"/>
        <w:shd w:val="clear" w:color="auto" w:fill="auto"/>
        <w:spacing w:after="0"/>
        <w:ind w:left="10080" w:hanging="1"/>
        <w:rPr>
          <w:rFonts w:ascii="Times New Roman" w:hAnsi="Times New Roman" w:cs="Times New Roman"/>
          <w:b/>
          <w:sz w:val="24"/>
          <w:szCs w:val="24"/>
        </w:rPr>
      </w:pPr>
      <w:r w:rsidRPr="00137AA2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222A2A" w:rsidRPr="00222A2A" w:rsidRDefault="00222A2A" w:rsidP="00222A2A">
      <w:pPr>
        <w:pStyle w:val="Bodytext50"/>
        <w:shd w:val="clear" w:color="auto" w:fill="auto"/>
        <w:tabs>
          <w:tab w:val="right" w:pos="14087"/>
          <w:tab w:val="left" w:pos="14399"/>
        </w:tabs>
        <w:spacing w:after="0"/>
        <w:ind w:left="10080" w:hanging="1"/>
        <w:rPr>
          <w:rFonts w:ascii="Times New Roman" w:hAnsi="Times New Roman" w:cs="Times New Roman"/>
        </w:rPr>
      </w:pPr>
      <w:r w:rsidRPr="00222A2A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bookmarkStart w:id="0" w:name="bookmark8"/>
      <w:r w:rsidRPr="00222A2A">
        <w:rPr>
          <w:rFonts w:ascii="Times New Roman" w:hAnsi="Times New Roman" w:cs="Times New Roman"/>
          <w:sz w:val="24"/>
        </w:rPr>
        <w:t>Золотодолинском  сельском поселении Партизанского муниципального района</w:t>
      </w:r>
    </w:p>
    <w:p w:rsidR="00222A2A" w:rsidRPr="00222A2A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</w:p>
    <w:p w:rsidR="00222A2A" w:rsidRPr="00222A2A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</w:p>
    <w:p w:rsidR="00222A2A" w:rsidRPr="00222A2A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  <w:r w:rsidRPr="00222A2A">
        <w:rPr>
          <w:rFonts w:ascii="Times New Roman" w:hAnsi="Times New Roman" w:cs="Times New Roman"/>
        </w:rPr>
        <w:t>РЕЗУЛЬТАТЫ</w:t>
      </w:r>
      <w:bookmarkEnd w:id="0"/>
    </w:p>
    <w:p w:rsidR="00F478C3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  <w:bookmarkStart w:id="1" w:name="bookmark9"/>
      <w:r w:rsidRPr="00222A2A">
        <w:rPr>
          <w:rFonts w:ascii="Times New Roman" w:hAnsi="Times New Roman" w:cs="Times New Roman"/>
        </w:rPr>
        <w:t>АНАЛИЗА КАЧЕСТВА ФИНАНСОВОГО МЕНЕДЖМЕНТА</w:t>
      </w:r>
      <w:bookmarkEnd w:id="1"/>
      <w:r w:rsidR="00F478C3">
        <w:rPr>
          <w:rFonts w:ascii="Times New Roman" w:hAnsi="Times New Roman" w:cs="Times New Roman"/>
        </w:rPr>
        <w:t xml:space="preserve"> </w:t>
      </w:r>
    </w:p>
    <w:p w:rsidR="00222A2A" w:rsidRPr="00222A2A" w:rsidRDefault="00F478C3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471"/>
        <w:gridCol w:w="1843"/>
        <w:gridCol w:w="889"/>
      </w:tblGrid>
      <w:tr w:rsidR="00222A2A" w:rsidRPr="00222A2A" w:rsidTr="001A551D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A2A" w:rsidRPr="00222A2A" w:rsidRDefault="00222A2A" w:rsidP="00463998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222A2A" w:rsidRPr="00222A2A" w:rsidTr="001A551D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A2A" w:rsidRPr="00222A2A" w:rsidTr="00A171A1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1. Оценка механизмов планирования расходов бюджета</w:t>
            </w:r>
          </w:p>
        </w:tc>
      </w:tr>
      <w:tr w:rsidR="00222A2A" w:rsidRPr="00222A2A" w:rsidTr="00463998">
        <w:trPr>
          <w:trHeight w:hRule="exact" w:val="21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463998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</w:t>
            </w:r>
          </w:p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 w:rsidRPr="00EF36FA">
              <w:rPr>
                <w:rFonts w:ascii="Times New Roman" w:hAnsi="Times New Roman" w:cs="Times New Roman"/>
              </w:rPr>
              <w:t>Администрация Золотодолинского СП</w:t>
            </w:r>
          </w:p>
          <w:p w:rsidR="00B153AB" w:rsidRPr="00222A2A" w:rsidRDefault="00B153AB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B153AB">
        <w:trPr>
          <w:trHeight w:hRule="exact" w:val="1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15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222A2A" w:rsidRPr="00222A2A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B153AB">
        <w:trPr>
          <w:trHeight w:hRule="exact" w:val="26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222A2A" w:rsidRPr="00222A2A" w:rsidTr="00B153AB">
        <w:trPr>
          <w:trHeight w:hRule="exact" w:val="19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</w:tbl>
    <w:p w:rsidR="00222A2A" w:rsidRPr="00222A2A" w:rsidRDefault="00222A2A" w:rsidP="00222A2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471"/>
        <w:gridCol w:w="1843"/>
        <w:gridCol w:w="889"/>
      </w:tblGrid>
      <w:tr w:rsidR="00222A2A" w:rsidRPr="00222A2A" w:rsidTr="00137AA2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A2A" w:rsidRPr="00222A2A" w:rsidRDefault="00222A2A" w:rsidP="00463998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222A2A" w:rsidRPr="00222A2A" w:rsidTr="00137AA2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51D" w:rsidRPr="00222A2A" w:rsidTr="00137AA2">
        <w:trPr>
          <w:trHeight w:hRule="exact" w:val="27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69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56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и подведомственных ему муниципальных 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5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6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606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3. Оценка состояния учета и отчетности</w:t>
            </w:r>
          </w:p>
        </w:tc>
      </w:tr>
      <w:tr w:rsidR="001A551D" w:rsidRPr="00222A2A" w:rsidTr="00137AA2">
        <w:trPr>
          <w:trHeight w:hRule="exact" w:val="27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F05503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6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F05503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222A2A" w:rsidRPr="00222A2A" w:rsidRDefault="00222A2A" w:rsidP="00463998">
      <w:pPr>
        <w:rPr>
          <w:rFonts w:ascii="Times New Roman" w:hAnsi="Times New Roman" w:cs="Times New Roman"/>
        </w:rPr>
      </w:pPr>
    </w:p>
    <w:p w:rsidR="00222A2A" w:rsidRPr="00222A2A" w:rsidRDefault="00222A2A" w:rsidP="00222A2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222A2A" w:rsidRPr="00222A2A" w:rsidTr="00A171A1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222A2A" w:rsidRPr="00222A2A" w:rsidTr="00A171A1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A2A" w:rsidRPr="00222A2A" w:rsidTr="00137AA2">
        <w:trPr>
          <w:trHeight w:hRule="exact" w:val="30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137AA2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6" w:history="1"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www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bus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gov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A551D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222A2A" w:rsidRPr="00222A2A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A551D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Default="00A073F3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r w:rsidR="001A551D">
              <w:rPr>
                <w:rFonts w:ascii="Times New Roman" w:hAnsi="Times New Roman" w:cs="Times New Roman"/>
              </w:rPr>
              <w:t>Золотодолинского СП</w:t>
            </w:r>
            <w:r>
              <w:rPr>
                <w:rFonts w:ascii="Times New Roman" w:hAnsi="Times New Roman" w:cs="Times New Roman"/>
              </w:rPr>
              <w:t xml:space="preserve"> ПМР;</w:t>
            </w:r>
          </w:p>
          <w:p w:rsidR="00A073F3" w:rsidRDefault="00A073F3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="00137AA2"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37AA2" w:rsidRPr="00222A2A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40" w:lineRule="exact"/>
              <w:ind w:firstLine="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5. Оценка организации финансового контроля</w:t>
            </w:r>
          </w:p>
        </w:tc>
      </w:tr>
      <w:tr w:rsidR="00222A2A" w:rsidRPr="00222A2A" w:rsidTr="00137AA2">
        <w:trPr>
          <w:trHeight w:hRule="exact" w:val="30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073F3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A2" w:rsidRDefault="001A551D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222A2A" w:rsidRPr="00222A2A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A551D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3F3" w:rsidRDefault="00A073F3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222A2A" w:rsidRDefault="00A073F3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="00137AA2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37AA2" w:rsidRDefault="00137AA2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37AA2" w:rsidRPr="00222A2A" w:rsidRDefault="00137AA2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22A2A" w:rsidRPr="00222A2A" w:rsidRDefault="00222A2A" w:rsidP="00222A2A">
      <w:pPr>
        <w:framePr w:w="15773" w:wrap="notBeside" w:vAnchor="text" w:hAnchor="text" w:xAlign="center" w:y="1"/>
        <w:rPr>
          <w:rFonts w:ascii="Times New Roman" w:hAnsi="Times New Roman" w:cs="Times New Roman"/>
        </w:rPr>
      </w:pPr>
    </w:p>
    <w:p w:rsidR="00222A2A" w:rsidRPr="00222A2A" w:rsidRDefault="00222A2A" w:rsidP="00222A2A">
      <w:pPr>
        <w:rPr>
          <w:rFonts w:ascii="Times New Roman" w:hAnsi="Times New Roman" w:cs="Times New Roman"/>
        </w:rPr>
      </w:pPr>
    </w:p>
    <w:p w:rsidR="00222A2A" w:rsidRPr="00222A2A" w:rsidRDefault="00222A2A" w:rsidP="00222A2A">
      <w:pPr>
        <w:rPr>
          <w:rFonts w:ascii="Times New Roman" w:hAnsi="Times New Roman" w:cs="Times New Roman"/>
        </w:rPr>
        <w:sectPr w:rsidR="00222A2A" w:rsidRPr="00222A2A">
          <w:headerReference w:type="default" r:id="rId7"/>
          <w:pgSz w:w="16840" w:h="11900" w:orient="landscape"/>
          <w:pgMar w:top="1352" w:right="510" w:bottom="764" w:left="558" w:header="0" w:footer="3" w:gutter="0"/>
          <w:cols w:space="720"/>
          <w:noEndnote/>
          <w:docGrid w:linePitch="360"/>
        </w:sectPr>
      </w:pPr>
    </w:p>
    <w:p w:rsidR="005F2379" w:rsidRPr="00222A2A" w:rsidRDefault="005F2379">
      <w:pPr>
        <w:rPr>
          <w:rFonts w:ascii="Times New Roman" w:hAnsi="Times New Roman" w:cs="Times New Roman"/>
        </w:rPr>
      </w:pPr>
    </w:p>
    <w:sectPr w:rsidR="005F2379" w:rsidRPr="00222A2A" w:rsidSect="004C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BD" w:rsidRDefault="006536BD" w:rsidP="004C3EF3">
      <w:pPr>
        <w:spacing w:after="0" w:line="240" w:lineRule="auto"/>
      </w:pPr>
      <w:r>
        <w:separator/>
      </w:r>
    </w:p>
  </w:endnote>
  <w:endnote w:type="continuationSeparator" w:id="1">
    <w:p w:rsidR="006536BD" w:rsidRDefault="006536BD" w:rsidP="004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BD" w:rsidRDefault="006536BD" w:rsidP="004C3EF3">
      <w:pPr>
        <w:spacing w:after="0" w:line="240" w:lineRule="auto"/>
      </w:pPr>
      <w:r>
        <w:separator/>
      </w:r>
    </w:p>
  </w:footnote>
  <w:footnote w:type="continuationSeparator" w:id="1">
    <w:p w:rsidR="006536BD" w:rsidRDefault="006536BD" w:rsidP="004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9A" w:rsidRDefault="005C098F">
    <w:pPr>
      <w:rPr>
        <w:sz w:val="2"/>
        <w:szCs w:val="2"/>
      </w:rPr>
    </w:pPr>
    <w:r w:rsidRPr="005C09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10.4pt;margin-top:23.1pt;width:7.7pt;height:6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2X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" filled="f" stroked="f">
          <v:textbox style="mso-next-textbox:#Text Box 2;mso-fit-shape-to-text:t" inset="0,0,0,0">
            <w:txbxContent>
              <w:p w:rsidR="00252D9A" w:rsidRDefault="005C098F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>
                  <w:fldChar w:fldCharType="begin"/>
                </w:r>
                <w:r w:rsidR="005F2379">
                  <w:instrText xml:space="preserve"> PAGE \* MERGEFORMAT </w:instrText>
                </w:r>
                <w:r>
                  <w:fldChar w:fldCharType="separate"/>
                </w:r>
                <w:r w:rsidR="00F478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A2A"/>
    <w:rsid w:val="000B4A9E"/>
    <w:rsid w:val="00137AA2"/>
    <w:rsid w:val="001A551D"/>
    <w:rsid w:val="00222A2A"/>
    <w:rsid w:val="00463998"/>
    <w:rsid w:val="004C3EF3"/>
    <w:rsid w:val="005C098F"/>
    <w:rsid w:val="005F2379"/>
    <w:rsid w:val="006536BD"/>
    <w:rsid w:val="007136E7"/>
    <w:rsid w:val="00791161"/>
    <w:rsid w:val="00A073F3"/>
    <w:rsid w:val="00B153AB"/>
    <w:rsid w:val="00D7507E"/>
    <w:rsid w:val="00D87BA4"/>
    <w:rsid w:val="00D963D5"/>
    <w:rsid w:val="00DB091D"/>
    <w:rsid w:val="00F4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link w:val="Headerorfooter0"/>
    <w:rsid w:val="00222A2A"/>
    <w:rPr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22A2A"/>
    <w:rPr>
      <w:sz w:val="20"/>
      <w:szCs w:val="20"/>
      <w:shd w:val="clear" w:color="auto" w:fill="FFFFFF"/>
    </w:rPr>
  </w:style>
  <w:style w:type="character" w:customStyle="1" w:styleId="Heading2">
    <w:name w:val="Heading #2_"/>
    <w:link w:val="Heading20"/>
    <w:rsid w:val="00222A2A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222A2A"/>
    <w:rPr>
      <w:shd w:val="clear" w:color="auto" w:fill="FFFFFF"/>
    </w:rPr>
  </w:style>
  <w:style w:type="character" w:customStyle="1" w:styleId="Bodytext212ptBold">
    <w:name w:val="Body text (2) + 12 pt;Bold"/>
    <w:rsid w:val="00222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22A2A"/>
    <w:pPr>
      <w:widowControl w:val="0"/>
      <w:shd w:val="clear" w:color="auto" w:fill="FFFFFF"/>
      <w:spacing w:after="0" w:line="0" w:lineRule="atLeast"/>
      <w:ind w:firstLine="29"/>
    </w:pPr>
    <w:rPr>
      <w:sz w:val="18"/>
      <w:szCs w:val="18"/>
    </w:rPr>
  </w:style>
  <w:style w:type="paragraph" w:customStyle="1" w:styleId="Bodytext50">
    <w:name w:val="Body text (5)"/>
    <w:basedOn w:val="a"/>
    <w:link w:val="Bodytext5"/>
    <w:rsid w:val="00222A2A"/>
    <w:pPr>
      <w:widowControl w:val="0"/>
      <w:shd w:val="clear" w:color="auto" w:fill="FFFFFF"/>
      <w:spacing w:after="300" w:line="230" w:lineRule="exact"/>
      <w:ind w:hanging="8"/>
    </w:pPr>
    <w:rPr>
      <w:sz w:val="20"/>
      <w:szCs w:val="20"/>
    </w:rPr>
  </w:style>
  <w:style w:type="paragraph" w:customStyle="1" w:styleId="Heading20">
    <w:name w:val="Heading #2"/>
    <w:basedOn w:val="a"/>
    <w:link w:val="Heading2"/>
    <w:rsid w:val="00222A2A"/>
    <w:pPr>
      <w:widowControl w:val="0"/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</w:rPr>
  </w:style>
  <w:style w:type="paragraph" w:customStyle="1" w:styleId="Bodytext20">
    <w:name w:val="Body text (2)"/>
    <w:basedOn w:val="a"/>
    <w:link w:val="Bodytext2"/>
    <w:rsid w:val="00222A2A"/>
    <w:pPr>
      <w:widowControl w:val="0"/>
      <w:shd w:val="clear" w:color="auto" w:fill="FFFFFF"/>
      <w:spacing w:before="300" w:after="0" w:line="274" w:lineRule="exact"/>
      <w:ind w:hanging="155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2021-03-26T00:53:00Z</dcterms:created>
  <dcterms:modified xsi:type="dcterms:W3CDTF">2021-04-14T07:06:00Z</dcterms:modified>
</cp:coreProperties>
</file>