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205B54">
        <w:rPr>
          <w:rFonts w:ascii="Times New Roman" w:hAnsi="Times New Roman"/>
          <w:b/>
          <w:i/>
          <w:sz w:val="32"/>
          <w:szCs w:val="32"/>
        </w:rPr>
        <w:t xml:space="preserve">первый квартал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205B54">
        <w:rPr>
          <w:rFonts w:ascii="Times New Roman" w:hAnsi="Times New Roman"/>
          <w:b/>
          <w:i/>
          <w:sz w:val="32"/>
          <w:szCs w:val="32"/>
        </w:rPr>
        <w:t>2</w:t>
      </w:r>
      <w:r w:rsidR="006E0492">
        <w:rPr>
          <w:rFonts w:ascii="Times New Roman" w:hAnsi="Times New Roman"/>
          <w:b/>
          <w:i/>
          <w:sz w:val="32"/>
          <w:szCs w:val="32"/>
        </w:rPr>
        <w:t>1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205B54">
        <w:rPr>
          <w:rFonts w:ascii="Times New Roman" w:hAnsi="Times New Roman"/>
          <w:b/>
          <w:i/>
          <w:sz w:val="32"/>
          <w:szCs w:val="32"/>
        </w:rPr>
        <w:t>а</w:t>
      </w:r>
    </w:p>
    <w:p w:rsidR="006E0492" w:rsidRDefault="006E0492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91" w:rsidRPr="00303F91" w:rsidRDefault="007D1AC7" w:rsidP="007D1A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3F91" w:rsidRPr="00303F91">
        <w:rPr>
          <w:rFonts w:ascii="Times New Roman" w:hAnsi="Times New Roman"/>
          <w:sz w:val="24"/>
          <w:szCs w:val="24"/>
        </w:rPr>
        <w:t xml:space="preserve">Решением муниципального комитета Золотодолинского сельского поселения от </w:t>
      </w:r>
      <w:r w:rsidR="006E0492">
        <w:rPr>
          <w:rFonts w:ascii="Times New Roman" w:hAnsi="Times New Roman"/>
          <w:sz w:val="24"/>
          <w:szCs w:val="24"/>
        </w:rPr>
        <w:t>22</w:t>
      </w:r>
      <w:r w:rsidR="00303F91" w:rsidRPr="00303F91">
        <w:rPr>
          <w:rFonts w:ascii="Times New Roman" w:hAnsi="Times New Roman"/>
          <w:sz w:val="24"/>
          <w:szCs w:val="24"/>
        </w:rPr>
        <w:t>.12.20</w:t>
      </w:r>
      <w:r w:rsidR="006E0492">
        <w:rPr>
          <w:rFonts w:ascii="Times New Roman" w:hAnsi="Times New Roman"/>
          <w:sz w:val="24"/>
          <w:szCs w:val="24"/>
        </w:rPr>
        <w:t>20</w:t>
      </w:r>
      <w:r w:rsidR="00303F91" w:rsidRPr="00303F91">
        <w:rPr>
          <w:rFonts w:ascii="Times New Roman" w:hAnsi="Times New Roman"/>
          <w:sz w:val="24"/>
          <w:szCs w:val="24"/>
        </w:rPr>
        <w:t xml:space="preserve"> № </w:t>
      </w:r>
      <w:r w:rsidR="00205B54">
        <w:rPr>
          <w:rFonts w:ascii="Times New Roman" w:hAnsi="Times New Roman"/>
          <w:sz w:val="24"/>
          <w:szCs w:val="24"/>
        </w:rPr>
        <w:t>2</w:t>
      </w:r>
      <w:r w:rsidR="006E0492">
        <w:rPr>
          <w:rFonts w:ascii="Times New Roman" w:hAnsi="Times New Roman"/>
          <w:sz w:val="24"/>
          <w:szCs w:val="24"/>
        </w:rPr>
        <w:t>4</w:t>
      </w:r>
      <w:r w:rsidR="00303F91" w:rsidRPr="00303F91">
        <w:rPr>
          <w:rFonts w:ascii="Times New Roman" w:hAnsi="Times New Roman"/>
          <w:sz w:val="24"/>
          <w:szCs w:val="24"/>
        </w:rPr>
        <w:t>-МПА «О бюджете Золотодолинского сельского поселения на 20</w:t>
      </w:r>
      <w:r w:rsidR="00205B54">
        <w:rPr>
          <w:rFonts w:ascii="Times New Roman" w:hAnsi="Times New Roman"/>
          <w:sz w:val="24"/>
          <w:szCs w:val="24"/>
        </w:rPr>
        <w:t>2</w:t>
      </w:r>
      <w:r w:rsidR="006E0492">
        <w:rPr>
          <w:rFonts w:ascii="Times New Roman" w:hAnsi="Times New Roman"/>
          <w:sz w:val="24"/>
          <w:szCs w:val="24"/>
        </w:rPr>
        <w:t>1</w:t>
      </w:r>
      <w:r w:rsidR="00303F91" w:rsidRPr="00303F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E0492">
        <w:rPr>
          <w:rFonts w:ascii="Times New Roman" w:hAnsi="Times New Roman"/>
          <w:sz w:val="24"/>
          <w:szCs w:val="24"/>
        </w:rPr>
        <w:t xml:space="preserve">2 </w:t>
      </w:r>
      <w:r w:rsidR="00303F91" w:rsidRPr="00303F91">
        <w:rPr>
          <w:rFonts w:ascii="Times New Roman" w:hAnsi="Times New Roman"/>
          <w:sz w:val="24"/>
          <w:szCs w:val="24"/>
        </w:rPr>
        <w:t>и 202</w:t>
      </w:r>
      <w:r w:rsidR="006E0492">
        <w:rPr>
          <w:rFonts w:ascii="Times New Roman" w:hAnsi="Times New Roman"/>
          <w:sz w:val="24"/>
          <w:szCs w:val="24"/>
        </w:rPr>
        <w:t>3</w:t>
      </w:r>
      <w:r w:rsidR="00303F91" w:rsidRPr="00303F91">
        <w:rPr>
          <w:rFonts w:ascii="Times New Roman" w:hAnsi="Times New Roman"/>
          <w:sz w:val="24"/>
          <w:szCs w:val="24"/>
        </w:rPr>
        <w:t xml:space="preserve"> годов» (далее по тексту – решение от </w:t>
      </w:r>
      <w:r w:rsidR="006E0492">
        <w:rPr>
          <w:rFonts w:ascii="Times New Roman" w:hAnsi="Times New Roman"/>
          <w:sz w:val="24"/>
          <w:szCs w:val="24"/>
        </w:rPr>
        <w:t>22</w:t>
      </w:r>
      <w:r w:rsidR="00303F91" w:rsidRPr="00303F91">
        <w:rPr>
          <w:rFonts w:ascii="Times New Roman" w:hAnsi="Times New Roman"/>
          <w:sz w:val="24"/>
          <w:szCs w:val="24"/>
        </w:rPr>
        <w:t>.12.20</w:t>
      </w:r>
      <w:r w:rsidR="006E0492">
        <w:rPr>
          <w:rFonts w:ascii="Times New Roman" w:hAnsi="Times New Roman"/>
          <w:sz w:val="24"/>
          <w:szCs w:val="24"/>
        </w:rPr>
        <w:t>20</w:t>
      </w:r>
      <w:r w:rsidR="00303F91" w:rsidRPr="00303F91">
        <w:rPr>
          <w:rFonts w:ascii="Times New Roman" w:hAnsi="Times New Roman"/>
          <w:sz w:val="24"/>
          <w:szCs w:val="24"/>
        </w:rPr>
        <w:t xml:space="preserve"> № </w:t>
      </w:r>
      <w:r w:rsidR="006E0492">
        <w:rPr>
          <w:rFonts w:ascii="Times New Roman" w:hAnsi="Times New Roman"/>
          <w:sz w:val="24"/>
          <w:szCs w:val="24"/>
        </w:rPr>
        <w:t>24</w:t>
      </w:r>
      <w:r w:rsidR="00303F91" w:rsidRPr="00303F91">
        <w:rPr>
          <w:rFonts w:ascii="Times New Roman" w:hAnsi="Times New Roman"/>
          <w:sz w:val="24"/>
          <w:szCs w:val="24"/>
        </w:rPr>
        <w:t>), были утверждены основные характеристики бюджета поселения на 20</w:t>
      </w:r>
      <w:r w:rsidR="00205B54">
        <w:rPr>
          <w:rFonts w:ascii="Times New Roman" w:hAnsi="Times New Roman"/>
          <w:sz w:val="24"/>
          <w:szCs w:val="24"/>
        </w:rPr>
        <w:t>2</w:t>
      </w:r>
      <w:r w:rsidR="006E0492">
        <w:rPr>
          <w:rFonts w:ascii="Times New Roman" w:hAnsi="Times New Roman"/>
          <w:sz w:val="24"/>
          <w:szCs w:val="24"/>
        </w:rPr>
        <w:t>1</w:t>
      </w:r>
      <w:r w:rsidR="00303F91" w:rsidRPr="00303F91">
        <w:rPr>
          <w:rFonts w:ascii="Times New Roman" w:hAnsi="Times New Roman"/>
          <w:sz w:val="24"/>
          <w:szCs w:val="24"/>
        </w:rPr>
        <w:t xml:space="preserve"> год: 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- общий объем доходов бюджета в сумме </w:t>
      </w:r>
      <w:r w:rsidR="006E0492">
        <w:rPr>
          <w:rFonts w:ascii="Times New Roman" w:hAnsi="Times New Roman"/>
          <w:sz w:val="24"/>
          <w:szCs w:val="24"/>
        </w:rPr>
        <w:t>10 050 000</w:t>
      </w:r>
      <w:r w:rsidR="00205B54">
        <w:rPr>
          <w:rFonts w:ascii="Times New Roman" w:hAnsi="Times New Roman"/>
          <w:sz w:val="24"/>
          <w:szCs w:val="24"/>
        </w:rPr>
        <w:t xml:space="preserve"> рубл</w:t>
      </w:r>
      <w:r w:rsidR="006E0492">
        <w:rPr>
          <w:rFonts w:ascii="Times New Roman" w:hAnsi="Times New Roman"/>
          <w:sz w:val="24"/>
          <w:szCs w:val="24"/>
        </w:rPr>
        <w:t>ей</w:t>
      </w:r>
      <w:r w:rsidR="00205B54">
        <w:rPr>
          <w:rFonts w:ascii="Times New Roman" w:hAnsi="Times New Roman"/>
          <w:sz w:val="24"/>
          <w:szCs w:val="24"/>
        </w:rPr>
        <w:t xml:space="preserve"> 0</w:t>
      </w:r>
      <w:r w:rsidR="006E0492">
        <w:rPr>
          <w:rFonts w:ascii="Times New Roman" w:hAnsi="Times New Roman"/>
          <w:sz w:val="24"/>
          <w:szCs w:val="24"/>
        </w:rPr>
        <w:t>0</w:t>
      </w:r>
      <w:r w:rsidR="00205B54">
        <w:rPr>
          <w:rFonts w:ascii="Times New Roman" w:hAnsi="Times New Roman"/>
          <w:sz w:val="24"/>
          <w:szCs w:val="24"/>
        </w:rPr>
        <w:t xml:space="preserve"> копеек</w:t>
      </w:r>
      <w:r w:rsidRPr="00303F91">
        <w:rPr>
          <w:rFonts w:ascii="Times New Roman" w:hAnsi="Times New Roman"/>
          <w:sz w:val="24"/>
          <w:szCs w:val="24"/>
        </w:rPr>
        <w:t xml:space="preserve">; </w:t>
      </w:r>
    </w:p>
    <w:p w:rsidR="006E0492" w:rsidRPr="00303F91" w:rsidRDefault="00303F91" w:rsidP="006E0492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>- общий объем расходов в сумме -</w:t>
      </w:r>
      <w:r w:rsidR="006E0492">
        <w:rPr>
          <w:rFonts w:ascii="Times New Roman" w:hAnsi="Times New Roman"/>
          <w:sz w:val="24"/>
          <w:szCs w:val="24"/>
        </w:rPr>
        <w:t>10 050 000 рублей 00 копеек</w:t>
      </w:r>
      <w:r w:rsidR="006E0492" w:rsidRPr="00303F91">
        <w:rPr>
          <w:rFonts w:ascii="Times New Roman" w:hAnsi="Times New Roman"/>
          <w:sz w:val="24"/>
          <w:szCs w:val="24"/>
        </w:rPr>
        <w:t xml:space="preserve">; </w:t>
      </w:r>
    </w:p>
    <w:p w:rsidR="00303F91" w:rsidRPr="00303F91" w:rsidRDefault="007D1AC7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F91" w:rsidRPr="00303F91">
        <w:rPr>
          <w:rFonts w:ascii="Times New Roman" w:hAnsi="Times New Roman"/>
          <w:sz w:val="24"/>
          <w:szCs w:val="24"/>
        </w:rPr>
        <w:t xml:space="preserve"> бюджет сбалансированный. </w:t>
      </w:r>
    </w:p>
    <w:p w:rsidR="00303F91" w:rsidRDefault="00303F91" w:rsidP="006E0492">
      <w:pPr>
        <w:pStyle w:val="a4"/>
        <w:spacing w:line="288" w:lineRule="auto"/>
        <w:ind w:left="0" w:firstLine="540"/>
        <w:jc w:val="both"/>
      </w:pPr>
      <w:r w:rsidRPr="00303F91">
        <w:t xml:space="preserve">В течение отчетного </w:t>
      </w:r>
      <w:r w:rsidR="00205B54">
        <w:t xml:space="preserve">первого квартала </w:t>
      </w:r>
      <w:r w:rsidRPr="00303F91">
        <w:t>20</w:t>
      </w:r>
      <w:r w:rsidR="00205B54">
        <w:t>2</w:t>
      </w:r>
      <w:r w:rsidR="006E0492">
        <w:t>1</w:t>
      </w:r>
      <w:r w:rsidRPr="00303F91">
        <w:t xml:space="preserve"> года внесе</w:t>
      </w:r>
      <w:r w:rsidR="006E0492">
        <w:t>ние</w:t>
      </w:r>
      <w:r w:rsidRPr="00303F91">
        <w:t xml:space="preserve"> изменени</w:t>
      </w:r>
      <w:r w:rsidR="006E0492">
        <w:t>й</w:t>
      </w:r>
      <w:r w:rsidR="00205B54">
        <w:t xml:space="preserve"> в решение от </w:t>
      </w:r>
      <w:proofErr w:type="spellStart"/>
      <w:proofErr w:type="gramStart"/>
      <w:r w:rsidR="006E0492" w:rsidRPr="00303F91">
        <w:t>от</w:t>
      </w:r>
      <w:proofErr w:type="spellEnd"/>
      <w:proofErr w:type="gramEnd"/>
      <w:r w:rsidR="006E0492" w:rsidRPr="00303F91">
        <w:t xml:space="preserve"> </w:t>
      </w:r>
      <w:r w:rsidR="006E0492">
        <w:t>22</w:t>
      </w:r>
      <w:r w:rsidR="006E0492" w:rsidRPr="00303F91">
        <w:t>.12.20</w:t>
      </w:r>
      <w:r w:rsidR="006E0492">
        <w:t>20</w:t>
      </w:r>
      <w:r w:rsidR="006E0492" w:rsidRPr="00303F91">
        <w:t xml:space="preserve"> № </w:t>
      </w:r>
      <w:r w:rsidR="006E0492">
        <w:t>24 не производилось.</w:t>
      </w:r>
    </w:p>
    <w:p w:rsidR="006E0492" w:rsidRPr="00303F91" w:rsidRDefault="006E0492" w:rsidP="006E0492">
      <w:pPr>
        <w:pStyle w:val="a4"/>
        <w:spacing w:line="288" w:lineRule="auto"/>
        <w:ind w:left="0" w:firstLine="540"/>
        <w:jc w:val="both"/>
        <w:rPr>
          <w:b/>
        </w:rPr>
      </w:pPr>
    </w:p>
    <w:p w:rsidR="00303F91" w:rsidRPr="00303F91" w:rsidRDefault="00303F91" w:rsidP="006E0492">
      <w:pPr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>Бюджет Золотодолинского сельского поселения по доходам за</w:t>
      </w:r>
      <w:r w:rsidR="00EB274A">
        <w:rPr>
          <w:rFonts w:ascii="Times New Roman" w:hAnsi="Times New Roman"/>
          <w:sz w:val="24"/>
          <w:szCs w:val="24"/>
        </w:rPr>
        <w:t xml:space="preserve"> первый квартал </w:t>
      </w:r>
      <w:r w:rsidRPr="00303F91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6E0492">
        <w:rPr>
          <w:rFonts w:ascii="Times New Roman" w:hAnsi="Times New Roman"/>
          <w:sz w:val="24"/>
          <w:szCs w:val="24"/>
        </w:rPr>
        <w:t>1</w:t>
      </w:r>
      <w:r w:rsidRPr="00303F91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303F91">
        <w:rPr>
          <w:rFonts w:ascii="Times New Roman" w:hAnsi="Times New Roman"/>
          <w:sz w:val="24"/>
          <w:szCs w:val="24"/>
        </w:rPr>
        <w:t xml:space="preserve"> исполнен на </w:t>
      </w:r>
      <w:r w:rsidR="006E0492" w:rsidRPr="00AC5AF8">
        <w:rPr>
          <w:rFonts w:ascii="Times New Roman" w:hAnsi="Times New Roman"/>
          <w:b/>
          <w:bCs/>
          <w:color w:val="000000"/>
          <w:sz w:val="21"/>
          <w:szCs w:val="21"/>
        </w:rPr>
        <w:t>1 701 636,47</w:t>
      </w:r>
      <w:r w:rsidR="006E0492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303F91">
        <w:rPr>
          <w:rFonts w:ascii="Times New Roman" w:hAnsi="Times New Roman"/>
          <w:sz w:val="24"/>
          <w:szCs w:val="24"/>
        </w:rPr>
        <w:t xml:space="preserve">рублей, что составляет </w:t>
      </w:r>
      <w:r w:rsidR="006E0492" w:rsidRPr="006E0492">
        <w:rPr>
          <w:rFonts w:ascii="Times New Roman" w:hAnsi="Times New Roman"/>
          <w:b/>
          <w:sz w:val="24"/>
          <w:szCs w:val="24"/>
        </w:rPr>
        <w:t xml:space="preserve">16,93 </w:t>
      </w:r>
      <w:r w:rsidRPr="006E0492">
        <w:rPr>
          <w:rFonts w:ascii="Times New Roman" w:hAnsi="Times New Roman"/>
          <w:b/>
          <w:sz w:val="24"/>
          <w:szCs w:val="24"/>
        </w:rPr>
        <w:t>%</w:t>
      </w:r>
      <w:r w:rsidRPr="00303F91">
        <w:rPr>
          <w:rFonts w:ascii="Times New Roman" w:hAnsi="Times New Roman"/>
          <w:sz w:val="24"/>
          <w:szCs w:val="24"/>
        </w:rPr>
        <w:t xml:space="preserve"> от плановых назначений на 20</w:t>
      </w:r>
      <w:r w:rsidR="00EB274A">
        <w:rPr>
          <w:rFonts w:ascii="Times New Roman" w:hAnsi="Times New Roman"/>
          <w:sz w:val="24"/>
          <w:szCs w:val="24"/>
        </w:rPr>
        <w:t>2</w:t>
      </w:r>
      <w:r w:rsidR="006E0492">
        <w:rPr>
          <w:rFonts w:ascii="Times New Roman" w:hAnsi="Times New Roman"/>
          <w:sz w:val="24"/>
          <w:szCs w:val="24"/>
        </w:rPr>
        <w:t>1</w:t>
      </w:r>
      <w:r w:rsidRPr="00303F91">
        <w:rPr>
          <w:rFonts w:ascii="Times New Roman" w:hAnsi="Times New Roman"/>
          <w:sz w:val="24"/>
          <w:szCs w:val="24"/>
        </w:rPr>
        <w:t xml:space="preserve"> год. </w:t>
      </w:r>
    </w:p>
    <w:p w:rsidR="00303F91" w:rsidRPr="00303F91" w:rsidRDefault="00303F91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91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объеме </w:t>
      </w:r>
      <w:r w:rsidR="006E0492" w:rsidRPr="005E37D6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1 842 694,10</w:t>
      </w:r>
      <w:r w:rsidR="006E0492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 </w:t>
      </w:r>
      <w:r w:rsidRPr="00303F91">
        <w:rPr>
          <w:rFonts w:ascii="Times New Roman" w:hAnsi="Times New Roman"/>
          <w:sz w:val="24"/>
          <w:szCs w:val="24"/>
        </w:rPr>
        <w:t xml:space="preserve">рублей или на </w:t>
      </w:r>
      <w:r w:rsidR="006E0492">
        <w:rPr>
          <w:rFonts w:ascii="Times New Roman" w:hAnsi="Times New Roman"/>
          <w:sz w:val="24"/>
          <w:szCs w:val="24"/>
        </w:rPr>
        <w:t xml:space="preserve">18,34 </w:t>
      </w:r>
      <w:r w:rsidRPr="00303F91">
        <w:rPr>
          <w:rFonts w:ascii="Times New Roman" w:hAnsi="Times New Roman"/>
          <w:sz w:val="24"/>
          <w:szCs w:val="24"/>
        </w:rPr>
        <w:t xml:space="preserve">% от годовых </w:t>
      </w:r>
      <w:r w:rsidR="003C15B8" w:rsidRPr="00303F91">
        <w:rPr>
          <w:rFonts w:ascii="Times New Roman" w:hAnsi="Times New Roman"/>
          <w:sz w:val="24"/>
          <w:szCs w:val="24"/>
        </w:rPr>
        <w:t xml:space="preserve">плановых </w:t>
      </w:r>
      <w:r w:rsidRPr="00303F91">
        <w:rPr>
          <w:rFonts w:ascii="Times New Roman" w:hAnsi="Times New Roman"/>
          <w:sz w:val="24"/>
          <w:szCs w:val="24"/>
        </w:rPr>
        <w:t xml:space="preserve">назначений. </w:t>
      </w: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первый квартал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7D1AC7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20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C2537C" w:rsidRPr="0049238A" w:rsidRDefault="00C2537C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Таблица 1 (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8930" w:type="dxa"/>
        <w:tblInd w:w="392" w:type="dxa"/>
        <w:tblLook w:val="04A0"/>
      </w:tblPr>
      <w:tblGrid>
        <w:gridCol w:w="2551"/>
        <w:gridCol w:w="1843"/>
        <w:gridCol w:w="1843"/>
        <w:gridCol w:w="1559"/>
        <w:gridCol w:w="1134"/>
      </w:tblGrid>
      <w:tr w:rsidR="00C2537C" w:rsidRPr="00C2537C" w:rsidTr="007540AD">
        <w:trPr>
          <w:trHeight w:val="3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7D1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за  </w:t>
            </w:r>
            <w:r w:rsidR="00EB2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квартал </w:t>
            </w: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D1A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B274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7D1A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</w:t>
            </w:r>
            <w:r w:rsidR="00EB2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первый квартал </w:t>
            </w:r>
            <w:r w:rsidRPr="00C25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B2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D1A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25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EB2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7D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>Отклонение к 20</w:t>
            </w:r>
            <w:r w:rsidR="007D1AC7">
              <w:rPr>
                <w:rFonts w:ascii="Times New Roman" w:hAnsi="Times New Roman"/>
                <w:sz w:val="24"/>
                <w:szCs w:val="24"/>
              </w:rPr>
              <w:t>20</w:t>
            </w:r>
            <w:r w:rsidRPr="00C2537C">
              <w:rPr>
                <w:rFonts w:ascii="Times New Roman" w:hAnsi="Times New Roman"/>
                <w:sz w:val="24"/>
                <w:szCs w:val="24"/>
              </w:rPr>
              <w:t xml:space="preserve"> году,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 xml:space="preserve">% роста, </w:t>
            </w:r>
          </w:p>
          <w:p w:rsidR="00C2537C" w:rsidRPr="00C2537C" w:rsidRDefault="00C2537C" w:rsidP="007D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sz w:val="24"/>
                <w:szCs w:val="24"/>
              </w:rPr>
              <w:t>к 20</w:t>
            </w:r>
            <w:r w:rsidR="007D1AC7">
              <w:rPr>
                <w:rFonts w:ascii="Times New Roman" w:hAnsi="Times New Roman"/>
                <w:sz w:val="24"/>
                <w:szCs w:val="24"/>
              </w:rPr>
              <w:t>20</w:t>
            </w:r>
            <w:r w:rsidRPr="00C253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2537C" w:rsidRPr="00C2537C" w:rsidTr="007540AD">
        <w:trPr>
          <w:trHeight w:val="1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C" w:rsidRPr="00C2537C" w:rsidRDefault="00C2537C" w:rsidP="007540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D1AC7" w:rsidRPr="00C2537C" w:rsidTr="007540AD">
        <w:trPr>
          <w:trHeight w:val="206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C7" w:rsidRPr="00C2537C" w:rsidRDefault="007D1AC7" w:rsidP="007540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7D1AC7" w:rsidRDefault="007D1AC7" w:rsidP="000C6A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1 600 889,89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540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1 701 636,47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43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100 746,58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D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</w:tr>
      <w:tr w:rsidR="007D1AC7" w:rsidRPr="00C2537C" w:rsidTr="007540AD">
        <w:trPr>
          <w:trHeight w:val="1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C7" w:rsidRPr="00C2537C" w:rsidRDefault="007D1AC7" w:rsidP="007540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7D1AC7" w:rsidRDefault="007D1AC7" w:rsidP="000C6A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1 845 989,49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540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1 842 694,10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D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-3 295,39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5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-0,18</w:t>
            </w:r>
          </w:p>
        </w:tc>
      </w:tr>
      <w:tr w:rsidR="007D1AC7" w:rsidRPr="00C2537C" w:rsidTr="007540AD">
        <w:trPr>
          <w:trHeight w:val="1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C7" w:rsidRPr="00C2537C" w:rsidRDefault="007D1AC7" w:rsidP="00754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C2537C">
              <w:rPr>
                <w:rFonts w:ascii="Times New Roman" w:hAnsi="Times New Roman"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7D1AC7" w:rsidRDefault="007D1AC7" w:rsidP="000C6A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-245 099,60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7D1A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-141 057,63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C7" w:rsidRPr="00C2537C" w:rsidRDefault="007D1AC7" w:rsidP="00635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104 041,97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7" w:rsidRPr="00C2537C" w:rsidRDefault="007D1AC7" w:rsidP="00635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-42,44</w:t>
            </w:r>
          </w:p>
        </w:tc>
      </w:tr>
    </w:tbl>
    <w:p w:rsidR="0049238A" w:rsidRDefault="0049238A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C2537C" w:rsidRPr="0049238A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C2537C" w:rsidRDefault="00C2537C" w:rsidP="00C2537C">
      <w:pPr>
        <w:pStyle w:val="a5"/>
        <w:spacing w:before="0" w:beforeAutospacing="0" w:after="0" w:afterAutospacing="0" w:line="288" w:lineRule="auto"/>
        <w:ind w:firstLine="708"/>
        <w:jc w:val="both"/>
      </w:pPr>
      <w:r w:rsidRPr="00E33B25">
        <w:t xml:space="preserve">Бюджет </w:t>
      </w:r>
      <w:r w:rsidRPr="004871BD">
        <w:t>Золотодолинского</w:t>
      </w:r>
      <w:r w:rsidRPr="00E33B25">
        <w:t xml:space="preserve"> сельского поселения по доходам за </w:t>
      </w:r>
      <w:r>
        <w:t>отчетный период 20</w:t>
      </w:r>
      <w:r w:rsidR="0063585D">
        <w:t>2</w:t>
      </w:r>
      <w:r w:rsidR="003C15B8">
        <w:t>1</w:t>
      </w:r>
      <w:r w:rsidRPr="00E33B25">
        <w:t xml:space="preserve"> года исполнен в объеме </w:t>
      </w:r>
      <w:r w:rsidR="004958B4" w:rsidRPr="00303F91">
        <w:t xml:space="preserve">на </w:t>
      </w:r>
      <w:r w:rsidR="004958B4" w:rsidRPr="00AC5AF8">
        <w:rPr>
          <w:b/>
          <w:bCs/>
          <w:color w:val="000000"/>
          <w:sz w:val="21"/>
          <w:szCs w:val="21"/>
        </w:rPr>
        <w:t>1 701 636,47</w:t>
      </w:r>
      <w:r w:rsidR="004958B4">
        <w:rPr>
          <w:b/>
          <w:bCs/>
          <w:color w:val="000000"/>
          <w:sz w:val="21"/>
          <w:szCs w:val="21"/>
        </w:rPr>
        <w:t xml:space="preserve"> </w:t>
      </w:r>
      <w:r w:rsidR="004958B4" w:rsidRPr="00303F91">
        <w:t xml:space="preserve">рублей, что составляет </w:t>
      </w:r>
      <w:r w:rsidR="004958B4" w:rsidRPr="006E0492">
        <w:rPr>
          <w:b/>
        </w:rPr>
        <w:t>16,93 %</w:t>
      </w:r>
      <w:r w:rsidR="004958B4" w:rsidRPr="00303F91">
        <w:t xml:space="preserve"> </w:t>
      </w:r>
      <w:r w:rsidRPr="00E33B25">
        <w:t xml:space="preserve">от годовых плановых назначений в сумме </w:t>
      </w:r>
      <w:r w:rsidR="004958B4">
        <w:t>10 050 000,00</w:t>
      </w:r>
      <w:r w:rsidRPr="00E33B25">
        <w:t xml:space="preserve"> рублей.</w:t>
      </w:r>
    </w:p>
    <w:p w:rsidR="00C2537C" w:rsidRPr="00E33B25" w:rsidRDefault="00C2537C" w:rsidP="00C2537C">
      <w:pPr>
        <w:pStyle w:val="a7"/>
        <w:spacing w:after="0" w:line="288" w:lineRule="auto"/>
        <w:ind w:firstLine="720"/>
        <w:jc w:val="both"/>
      </w:pPr>
      <w:r w:rsidRPr="00E33B25">
        <w:t xml:space="preserve">Плановые назначения </w:t>
      </w:r>
      <w:r w:rsidRPr="004958B4">
        <w:rPr>
          <w:b/>
        </w:rPr>
        <w:t>по налоговым доходам</w:t>
      </w:r>
      <w:r w:rsidRPr="00E33B25">
        <w:t xml:space="preserve"> бюджета поселения в объеме </w:t>
      </w:r>
      <w:r w:rsidR="00901EA5">
        <w:t>2</w:t>
      </w:r>
      <w:r w:rsidR="004958B4">
        <w:t> 514 470</w:t>
      </w:r>
      <w:r>
        <w:t xml:space="preserve">,00 рублей исполнены на </w:t>
      </w:r>
      <w:r w:rsidR="004958B4">
        <w:t xml:space="preserve">17,83 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за </w:t>
      </w:r>
      <w:r w:rsidR="00901EA5">
        <w:t>первый квартал текущего года</w:t>
      </w:r>
      <w:r w:rsidRPr="00E33B25">
        <w:t xml:space="preserve"> </w:t>
      </w:r>
      <w:r w:rsidR="004958B4" w:rsidRPr="004958B4">
        <w:rPr>
          <w:b/>
        </w:rPr>
        <w:t>448 223,47</w:t>
      </w:r>
      <w:r>
        <w:t xml:space="preserve"> </w:t>
      </w:r>
      <w:r w:rsidRPr="00E33B25">
        <w:t xml:space="preserve">рублей. </w:t>
      </w:r>
      <w:r w:rsidRPr="002C5410">
        <w:t>По сравнению с аналогичным периодом 20</w:t>
      </w:r>
      <w:r w:rsidR="004958B4">
        <w:t>20</w:t>
      </w:r>
      <w:r w:rsidRPr="002C5410">
        <w:t xml:space="preserve"> года наблюдается рост поступлений на </w:t>
      </w:r>
      <w:r w:rsidR="004958B4">
        <w:t xml:space="preserve">110,65 </w:t>
      </w:r>
      <w:r w:rsidRPr="002C5410">
        <w:t xml:space="preserve">%, в абсолютной величине на </w:t>
      </w:r>
      <w:r w:rsidR="004958B4">
        <w:t>43142,98</w:t>
      </w:r>
      <w:r w:rsidRPr="002C5410">
        <w:t xml:space="preserve"> рублей.</w:t>
      </w:r>
      <w:r w:rsidRPr="00E33B25">
        <w:t xml:space="preserve"> </w:t>
      </w:r>
    </w:p>
    <w:p w:rsidR="00C2537C" w:rsidRPr="00E33B25" w:rsidRDefault="00C2537C" w:rsidP="00C2537C">
      <w:pPr>
        <w:pStyle w:val="a7"/>
        <w:spacing w:after="0" w:line="288" w:lineRule="auto"/>
        <w:ind w:firstLine="720"/>
        <w:jc w:val="both"/>
      </w:pPr>
      <w:r w:rsidRPr="00E33B25">
        <w:t xml:space="preserve">Плановые назначения </w:t>
      </w:r>
      <w:r w:rsidRPr="00751480">
        <w:rPr>
          <w:b/>
        </w:rPr>
        <w:t>по неналоговым доходам</w:t>
      </w:r>
      <w:r w:rsidRPr="00E33B25">
        <w:t xml:space="preserve"> бюджета поселения на 20</w:t>
      </w:r>
      <w:r w:rsidR="00901EA5">
        <w:t>2</w:t>
      </w:r>
      <w:r w:rsidR="00751480">
        <w:t>1</w:t>
      </w:r>
      <w:r w:rsidRPr="00E33B25">
        <w:t xml:space="preserve"> год в объеме </w:t>
      </w:r>
      <w:r w:rsidR="00751480">
        <w:t>122 970</w:t>
      </w:r>
      <w:r w:rsidRPr="00E33B25">
        <w:t xml:space="preserve">,00 рублей исполнены на </w:t>
      </w:r>
      <w:r w:rsidR="00751480">
        <w:t>28,85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</w:t>
      </w:r>
      <w:r w:rsidR="00751480">
        <w:t>35 485,86</w:t>
      </w:r>
      <w:r w:rsidRPr="00E33B25">
        <w:t xml:space="preserve"> рублей. </w:t>
      </w:r>
      <w:r w:rsidRPr="002C5410">
        <w:t>По сравнению с 20</w:t>
      </w:r>
      <w:r w:rsidR="00751480">
        <w:t>20</w:t>
      </w:r>
      <w:r w:rsidRPr="002C5410">
        <w:t xml:space="preserve"> год</w:t>
      </w:r>
      <w:r w:rsidR="00901EA5">
        <w:t>а</w:t>
      </w:r>
      <w:r w:rsidRPr="002C5410">
        <w:t xml:space="preserve">, наблюдается </w:t>
      </w:r>
      <w:r w:rsidR="00901EA5">
        <w:t>снижение</w:t>
      </w:r>
      <w:r w:rsidRPr="002C5410">
        <w:t xml:space="preserve"> поступлений на </w:t>
      </w:r>
      <w:r w:rsidR="00751480">
        <w:t>3 819,36</w:t>
      </w:r>
      <w:r w:rsidRPr="002C5410">
        <w:t xml:space="preserve"> рублей</w:t>
      </w:r>
      <w:r w:rsidR="00901EA5">
        <w:t>.</w:t>
      </w:r>
      <w:r w:rsidRPr="00E33B25">
        <w:t xml:space="preserve"> </w:t>
      </w:r>
    </w:p>
    <w:p w:rsidR="00C2537C" w:rsidRPr="008C12C1" w:rsidRDefault="00C2537C" w:rsidP="00C2537C">
      <w:pPr>
        <w:pStyle w:val="a7"/>
        <w:spacing w:after="0" w:line="288" w:lineRule="auto"/>
        <w:ind w:firstLine="720"/>
        <w:jc w:val="both"/>
      </w:pPr>
      <w:r w:rsidRPr="00E33B25">
        <w:lastRenderedPageBreak/>
        <w:t>Плановые назначения по безвозмездным поступлениям на 20</w:t>
      </w:r>
      <w:r w:rsidR="00901EA5">
        <w:t>2</w:t>
      </w:r>
      <w:r w:rsidR="00751480">
        <w:t>1</w:t>
      </w:r>
      <w:r w:rsidRPr="00E33B25">
        <w:t xml:space="preserve"> год в объеме </w:t>
      </w:r>
      <w:r w:rsidR="00751480" w:rsidRPr="00AC5AF8">
        <w:rPr>
          <w:b/>
          <w:bCs/>
          <w:color w:val="000000"/>
          <w:sz w:val="21"/>
          <w:szCs w:val="21"/>
        </w:rPr>
        <w:t>7 535 530,00</w:t>
      </w:r>
      <w:r w:rsidR="00751480">
        <w:rPr>
          <w:b/>
          <w:bCs/>
          <w:color w:val="000000"/>
          <w:sz w:val="21"/>
          <w:szCs w:val="21"/>
        </w:rPr>
        <w:t xml:space="preserve"> </w:t>
      </w:r>
      <w:r w:rsidRPr="00E33B25">
        <w:t xml:space="preserve">рублей исполнены на </w:t>
      </w:r>
      <w:r w:rsidR="00751480">
        <w:t xml:space="preserve">16,63 </w:t>
      </w:r>
      <w:r w:rsidRPr="00E33B25">
        <w:t xml:space="preserve">%, фактическое поступление составило </w:t>
      </w:r>
      <w:r w:rsidR="00751480" w:rsidRPr="00AC5AF8">
        <w:rPr>
          <w:b/>
          <w:bCs/>
          <w:color w:val="000000"/>
          <w:sz w:val="21"/>
          <w:szCs w:val="21"/>
        </w:rPr>
        <w:t>1 253 413,00</w:t>
      </w:r>
      <w:r w:rsidR="00751480">
        <w:rPr>
          <w:b/>
          <w:bCs/>
          <w:color w:val="000000"/>
          <w:sz w:val="21"/>
          <w:szCs w:val="21"/>
        </w:rPr>
        <w:t xml:space="preserve"> </w:t>
      </w:r>
      <w:r w:rsidRPr="00E33B25">
        <w:t xml:space="preserve">рублей. </w:t>
      </w:r>
      <w:r w:rsidRPr="008C12C1">
        <w:t xml:space="preserve">По сравнению с аналогичным периодом прошлого года наблюдается рост поступлений на </w:t>
      </w:r>
      <w:r w:rsidR="00751480">
        <w:t xml:space="preserve">96 908,82 </w:t>
      </w:r>
      <w:r w:rsidRPr="008C12C1">
        <w:t xml:space="preserve"> рублей или на </w:t>
      </w:r>
      <w:r w:rsidR="00751480">
        <w:t xml:space="preserve">108,38 </w:t>
      </w:r>
      <w:r w:rsidRPr="008C12C1">
        <w:t>%.</w:t>
      </w:r>
    </w:p>
    <w:p w:rsidR="00C2537C" w:rsidRPr="004958B4" w:rsidRDefault="00C2537C" w:rsidP="00C2537C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b/>
          <w:spacing w:val="-6"/>
          <w:sz w:val="24"/>
        </w:rPr>
      </w:pPr>
      <w:r w:rsidRPr="004958B4">
        <w:rPr>
          <w:rFonts w:ascii="Times New Roman" w:hAnsi="Times New Roman"/>
          <w:b/>
          <w:spacing w:val="-6"/>
          <w:sz w:val="24"/>
        </w:rPr>
        <w:t>По отношению к отчетному периоду 20</w:t>
      </w:r>
      <w:r w:rsidR="004958B4" w:rsidRPr="004958B4">
        <w:rPr>
          <w:rFonts w:ascii="Times New Roman" w:hAnsi="Times New Roman"/>
          <w:b/>
          <w:spacing w:val="-6"/>
          <w:sz w:val="24"/>
        </w:rPr>
        <w:t>20</w:t>
      </w:r>
      <w:r w:rsidRPr="004958B4">
        <w:rPr>
          <w:rFonts w:ascii="Times New Roman" w:hAnsi="Times New Roman"/>
          <w:b/>
          <w:spacing w:val="-6"/>
          <w:sz w:val="24"/>
        </w:rPr>
        <w:t xml:space="preserve"> года в абсолютных цифрах </w:t>
      </w:r>
      <w:r w:rsidR="00751480">
        <w:rPr>
          <w:rFonts w:ascii="Times New Roman" w:hAnsi="Times New Roman"/>
          <w:b/>
          <w:spacing w:val="-6"/>
          <w:sz w:val="24"/>
        </w:rPr>
        <w:t xml:space="preserve">общее </w:t>
      </w:r>
      <w:r w:rsidRPr="004958B4">
        <w:rPr>
          <w:rFonts w:ascii="Times New Roman" w:hAnsi="Times New Roman"/>
          <w:b/>
          <w:spacing w:val="-6"/>
          <w:sz w:val="24"/>
        </w:rPr>
        <w:t xml:space="preserve">поступление доходов возросло на </w:t>
      </w:r>
      <w:r w:rsidR="004958B4" w:rsidRPr="004958B4">
        <w:rPr>
          <w:rFonts w:ascii="Times New Roman" w:hAnsi="Times New Roman"/>
          <w:b/>
          <w:spacing w:val="-6"/>
          <w:sz w:val="24"/>
        </w:rPr>
        <w:t>100 746,58</w:t>
      </w:r>
      <w:r w:rsidRPr="004958B4">
        <w:rPr>
          <w:rFonts w:ascii="Times New Roman" w:hAnsi="Times New Roman"/>
          <w:b/>
          <w:spacing w:val="-6"/>
          <w:sz w:val="24"/>
        </w:rPr>
        <w:t xml:space="preserve"> или на </w:t>
      </w:r>
      <w:r w:rsidR="004958B4" w:rsidRPr="004958B4">
        <w:rPr>
          <w:rFonts w:ascii="Times New Roman" w:hAnsi="Times New Roman"/>
          <w:b/>
          <w:spacing w:val="-6"/>
          <w:sz w:val="24"/>
        </w:rPr>
        <w:t>6,29</w:t>
      </w:r>
      <w:r w:rsidRPr="004958B4">
        <w:rPr>
          <w:rFonts w:ascii="Times New Roman" w:hAnsi="Times New Roman"/>
          <w:b/>
          <w:spacing w:val="-6"/>
          <w:sz w:val="24"/>
        </w:rPr>
        <w:t xml:space="preserve">%. </w:t>
      </w:r>
    </w:p>
    <w:p w:rsidR="00C2537C" w:rsidRDefault="00C2537C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63B4" w:rsidRDefault="00821A3F" w:rsidP="00821A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5273">
        <w:rPr>
          <w:rFonts w:ascii="Times New Roman" w:hAnsi="Times New Roman"/>
          <w:b/>
          <w:i/>
          <w:sz w:val="28"/>
          <w:szCs w:val="28"/>
        </w:rPr>
        <w:t xml:space="preserve">Структура </w:t>
      </w:r>
      <w:r w:rsidR="008D72A2">
        <w:rPr>
          <w:rFonts w:ascii="Times New Roman" w:hAnsi="Times New Roman"/>
          <w:b/>
          <w:i/>
          <w:sz w:val="28"/>
          <w:szCs w:val="28"/>
        </w:rPr>
        <w:t xml:space="preserve">исполнения </w:t>
      </w:r>
      <w:r w:rsidRPr="00ED5273">
        <w:rPr>
          <w:rFonts w:ascii="Times New Roman" w:hAnsi="Times New Roman"/>
          <w:b/>
          <w:i/>
          <w:sz w:val="28"/>
          <w:szCs w:val="28"/>
        </w:rPr>
        <w:t>доходов бюджета</w:t>
      </w:r>
      <w:r w:rsidR="00D80052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D80052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D80052">
        <w:rPr>
          <w:rFonts w:ascii="Times New Roman" w:hAnsi="Times New Roman"/>
          <w:b/>
          <w:i/>
          <w:sz w:val="28"/>
          <w:szCs w:val="28"/>
        </w:rPr>
        <w:t xml:space="preserve"> % </w:t>
      </w:r>
      <w:proofErr w:type="gramStart"/>
      <w:r w:rsidR="00D80052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D80052">
        <w:rPr>
          <w:rFonts w:ascii="Times New Roman" w:hAnsi="Times New Roman"/>
          <w:b/>
          <w:i/>
          <w:sz w:val="28"/>
          <w:szCs w:val="28"/>
        </w:rPr>
        <w:t xml:space="preserve"> общего исполнения)</w:t>
      </w:r>
      <w:r>
        <w:rPr>
          <w:rFonts w:ascii="Times New Roman" w:hAnsi="Times New Roman"/>
          <w:b/>
          <w:i/>
          <w:sz w:val="28"/>
          <w:szCs w:val="28"/>
        </w:rPr>
        <w:t xml:space="preserve"> Золотодолинского сельского поселения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>
        <w:rPr>
          <w:rFonts w:ascii="Times New Roman" w:hAnsi="Times New Roman"/>
          <w:b/>
          <w:i/>
          <w:sz w:val="28"/>
          <w:szCs w:val="28"/>
        </w:rPr>
        <w:t>ского муниципального района  за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первый квартал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1A3F" w:rsidRDefault="00821A3F" w:rsidP="00821A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215E91">
        <w:rPr>
          <w:rFonts w:ascii="Times New Roman" w:hAnsi="Times New Roman"/>
          <w:b/>
          <w:i/>
          <w:sz w:val="28"/>
          <w:szCs w:val="28"/>
        </w:rPr>
        <w:t>1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</w:p>
    <w:p w:rsidR="00ED5273" w:rsidRDefault="00C83C38" w:rsidP="00F36F64">
      <w:pPr>
        <w:tabs>
          <w:tab w:val="left" w:pos="4253"/>
        </w:tabs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4E58" w:rsidRDefault="00E14E5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первый квартал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4774E7">
        <w:rPr>
          <w:rFonts w:ascii="Times New Roman" w:hAnsi="Times New Roman"/>
          <w:b/>
          <w:i/>
          <w:sz w:val="28"/>
          <w:szCs w:val="28"/>
        </w:rPr>
        <w:t>1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20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4E7" w:rsidRDefault="004774E7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BE4" w:rsidRDefault="007B1BE4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lastRenderedPageBreak/>
        <w:t>Исполнение бюджета поселения по расходам</w:t>
      </w:r>
    </w:p>
    <w:p w:rsidR="004774E7" w:rsidRPr="004774E7" w:rsidRDefault="007B1BE4" w:rsidP="004774E7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4E7">
        <w:rPr>
          <w:rFonts w:ascii="Times New Roman" w:hAnsi="Times New Roman"/>
          <w:sz w:val="24"/>
          <w:szCs w:val="24"/>
        </w:rPr>
        <w:t xml:space="preserve"> </w:t>
      </w:r>
      <w:r w:rsidRPr="004774E7">
        <w:rPr>
          <w:rFonts w:ascii="Times New Roman" w:hAnsi="Times New Roman"/>
          <w:b/>
          <w:sz w:val="24"/>
          <w:szCs w:val="24"/>
        </w:rPr>
        <w:t xml:space="preserve">Бюджет поселения по расходам за </w:t>
      </w:r>
      <w:r w:rsidR="00EF484D" w:rsidRPr="004774E7">
        <w:rPr>
          <w:rFonts w:ascii="Times New Roman" w:hAnsi="Times New Roman"/>
          <w:b/>
          <w:sz w:val="24"/>
          <w:szCs w:val="24"/>
        </w:rPr>
        <w:t xml:space="preserve">первый квартал </w:t>
      </w:r>
      <w:r w:rsidRPr="004774E7">
        <w:rPr>
          <w:rFonts w:ascii="Times New Roman" w:hAnsi="Times New Roman"/>
          <w:b/>
          <w:sz w:val="24"/>
          <w:szCs w:val="24"/>
        </w:rPr>
        <w:t>20</w:t>
      </w:r>
      <w:r w:rsidR="00EF484D" w:rsidRPr="004774E7">
        <w:rPr>
          <w:rFonts w:ascii="Times New Roman" w:hAnsi="Times New Roman"/>
          <w:b/>
          <w:sz w:val="24"/>
          <w:szCs w:val="24"/>
        </w:rPr>
        <w:t>2</w:t>
      </w:r>
      <w:r w:rsidR="004774E7" w:rsidRPr="004774E7">
        <w:rPr>
          <w:rFonts w:ascii="Times New Roman" w:hAnsi="Times New Roman"/>
          <w:b/>
          <w:sz w:val="24"/>
          <w:szCs w:val="24"/>
        </w:rPr>
        <w:t>1</w:t>
      </w:r>
      <w:r w:rsidRPr="004774E7">
        <w:rPr>
          <w:rFonts w:ascii="Times New Roman" w:hAnsi="Times New Roman"/>
          <w:b/>
          <w:sz w:val="24"/>
          <w:szCs w:val="24"/>
        </w:rPr>
        <w:t xml:space="preserve"> год</w:t>
      </w:r>
      <w:r w:rsidR="00EF484D" w:rsidRPr="004774E7">
        <w:rPr>
          <w:rFonts w:ascii="Times New Roman" w:hAnsi="Times New Roman"/>
          <w:b/>
          <w:sz w:val="24"/>
          <w:szCs w:val="24"/>
        </w:rPr>
        <w:t>а</w:t>
      </w:r>
      <w:r w:rsidRPr="004774E7">
        <w:rPr>
          <w:rFonts w:ascii="Times New Roman" w:hAnsi="Times New Roman"/>
          <w:b/>
          <w:sz w:val="24"/>
          <w:szCs w:val="24"/>
        </w:rPr>
        <w:t xml:space="preserve"> исполнен в объеме </w:t>
      </w:r>
      <w:r w:rsidR="004774E7" w:rsidRPr="004774E7">
        <w:rPr>
          <w:rFonts w:ascii="Times New Roman" w:hAnsi="Times New Roman"/>
          <w:b/>
          <w:sz w:val="24"/>
          <w:szCs w:val="24"/>
        </w:rPr>
        <w:t xml:space="preserve">в объеме </w:t>
      </w:r>
      <w:r w:rsidR="004774E7" w:rsidRPr="004774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1 842 694,10 </w:t>
      </w:r>
      <w:r w:rsidR="004774E7" w:rsidRPr="004774E7">
        <w:rPr>
          <w:rFonts w:ascii="Times New Roman" w:hAnsi="Times New Roman"/>
          <w:b/>
          <w:sz w:val="24"/>
          <w:szCs w:val="24"/>
        </w:rPr>
        <w:t xml:space="preserve">рублей, что составляет 18,34 % от годовых плановых назначений. </w:t>
      </w:r>
    </w:p>
    <w:p w:rsidR="007B1BE4" w:rsidRDefault="007B1BE4" w:rsidP="007B1BE4">
      <w:pPr>
        <w:pStyle w:val="1"/>
        <w:spacing w:line="288" w:lineRule="auto"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 сравнению с анало</w:t>
      </w:r>
      <w:r w:rsidR="00747ED3">
        <w:rPr>
          <w:b w:val="0"/>
          <w:sz w:val="24"/>
          <w:szCs w:val="24"/>
        </w:rPr>
        <w:t>гичным периодом 20</w:t>
      </w:r>
      <w:r w:rsidR="004774E7">
        <w:rPr>
          <w:b w:val="0"/>
          <w:sz w:val="24"/>
          <w:szCs w:val="24"/>
        </w:rPr>
        <w:t>20</w:t>
      </w:r>
      <w:r w:rsidR="00747ED3">
        <w:rPr>
          <w:b w:val="0"/>
          <w:sz w:val="24"/>
          <w:szCs w:val="24"/>
        </w:rPr>
        <w:t xml:space="preserve"> года в абсо</w:t>
      </w:r>
      <w:r>
        <w:rPr>
          <w:b w:val="0"/>
          <w:sz w:val="24"/>
          <w:szCs w:val="24"/>
        </w:rPr>
        <w:t xml:space="preserve">лютных цифрах исполнение </w:t>
      </w:r>
      <w:r w:rsidR="004774E7">
        <w:rPr>
          <w:b w:val="0"/>
          <w:sz w:val="24"/>
          <w:szCs w:val="24"/>
        </w:rPr>
        <w:t>уменьш</w:t>
      </w:r>
      <w:r>
        <w:rPr>
          <w:b w:val="0"/>
          <w:sz w:val="24"/>
          <w:szCs w:val="24"/>
        </w:rPr>
        <w:t xml:space="preserve">илось на </w:t>
      </w:r>
      <w:r w:rsidR="004774E7">
        <w:rPr>
          <w:b w:val="0"/>
          <w:sz w:val="24"/>
          <w:szCs w:val="24"/>
        </w:rPr>
        <w:t>3 295,39</w:t>
      </w:r>
      <w:r>
        <w:rPr>
          <w:b w:val="0"/>
          <w:sz w:val="24"/>
          <w:szCs w:val="24"/>
        </w:rPr>
        <w:t xml:space="preserve"> рублей или на </w:t>
      </w:r>
      <w:r w:rsidR="004774E7">
        <w:rPr>
          <w:b w:val="0"/>
          <w:sz w:val="24"/>
          <w:szCs w:val="24"/>
        </w:rPr>
        <w:t>-0,18</w:t>
      </w:r>
      <w:r>
        <w:rPr>
          <w:b w:val="0"/>
          <w:sz w:val="24"/>
          <w:szCs w:val="24"/>
        </w:rPr>
        <w:t>%.</w:t>
      </w:r>
    </w:p>
    <w:p w:rsidR="007B1BE4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  <w:t xml:space="preserve">Результаты исполнения расходной части бюджета </w:t>
      </w:r>
      <w:r w:rsidRPr="004871BD">
        <w:t>Золотодолинского</w:t>
      </w:r>
      <w:r>
        <w:t xml:space="preserve"> сельского поселения в разрезе разделов классификации расходов за</w:t>
      </w:r>
      <w:r w:rsidR="00EF484D">
        <w:t xml:space="preserve"> первый квартал</w:t>
      </w:r>
      <w:r>
        <w:t xml:space="preserve"> 20</w:t>
      </w:r>
      <w:r w:rsidR="00EF484D">
        <w:t>2</w:t>
      </w:r>
      <w:r w:rsidR="004774E7">
        <w:t>1</w:t>
      </w:r>
      <w:r>
        <w:t xml:space="preserve"> год</w:t>
      </w:r>
      <w:r w:rsidR="00EF484D">
        <w:t>а</w:t>
      </w:r>
      <w:r>
        <w:t xml:space="preserve"> отражены в таблице 2.</w:t>
      </w:r>
    </w:p>
    <w:p w:rsidR="007B1BE4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2 (рублей)</w:t>
      </w:r>
    </w:p>
    <w:tbl>
      <w:tblPr>
        <w:tblW w:w="9786" w:type="dxa"/>
        <w:tblInd w:w="103" w:type="dxa"/>
        <w:tblLayout w:type="fixed"/>
        <w:tblLook w:val="04A0"/>
      </w:tblPr>
      <w:tblGrid>
        <w:gridCol w:w="3974"/>
        <w:gridCol w:w="567"/>
        <w:gridCol w:w="709"/>
        <w:gridCol w:w="1418"/>
        <w:gridCol w:w="1701"/>
        <w:gridCol w:w="1417"/>
      </w:tblGrid>
      <w:tr w:rsidR="00D56400" w:rsidRPr="007B1BE4" w:rsidTr="00D56400">
        <w:trPr>
          <w:trHeight w:val="110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4774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B1BE4">
              <w:rPr>
                <w:rFonts w:ascii="Times New Roman" w:hAnsi="Times New Roman"/>
                <w:sz w:val="16"/>
                <w:szCs w:val="16"/>
              </w:rPr>
              <w:t>лановые назначения на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7B1BE4"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D56400" w:rsidP="004774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квартал </w:t>
            </w: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 xml:space="preserve">% исполнения </w:t>
            </w:r>
          </w:p>
        </w:tc>
      </w:tr>
      <w:tr w:rsidR="00D56400" w:rsidRPr="007B1BE4" w:rsidTr="00510D84">
        <w:trPr>
          <w:trHeight w:val="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510D84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510D84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510D84" w:rsidP="00927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56400" w:rsidRPr="007B1BE4" w:rsidTr="00510D84">
        <w:trPr>
          <w:trHeight w:val="55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510D84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7D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510D84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24,29</w:t>
            </w:r>
          </w:p>
        </w:tc>
      </w:tr>
      <w:tr w:rsidR="00D56400" w:rsidRPr="007B1BE4" w:rsidTr="00D56400">
        <w:trPr>
          <w:trHeight w:val="7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374 000,00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510D84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7D6">
              <w:rPr>
                <w:rFonts w:ascii="Times New Roman" w:hAnsi="Times New Roman"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510D84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17,32</w:t>
            </w:r>
          </w:p>
        </w:tc>
      </w:tr>
      <w:tr w:rsidR="00D56400" w:rsidRPr="007B1BE4" w:rsidTr="00D56400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D56400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6400" w:rsidRPr="007B1BE4" w:rsidTr="00D56400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Default="00D56400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Default="00D56400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6400" w:rsidRPr="007B1BE4" w:rsidTr="00D56400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D564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1 455 660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7B1BE4" w:rsidRDefault="008146DE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DE">
              <w:rPr>
                <w:rFonts w:ascii="Times New Roman" w:hAnsi="Times New Roman"/>
                <w:sz w:val="18"/>
                <w:szCs w:val="18"/>
              </w:rPr>
              <w:t>418 577,22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8146DE" w:rsidP="00D56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28,76</w:t>
            </w:r>
          </w:p>
        </w:tc>
      </w:tr>
      <w:tr w:rsidR="00D56400" w:rsidRPr="007B1BE4" w:rsidTr="00D5640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927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333 580,00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D56400" w:rsidRDefault="001B263D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83 395,00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1B263D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D56400" w:rsidRPr="007B1BE4" w:rsidTr="00D56400">
        <w:trPr>
          <w:trHeight w:val="35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927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безопасность и правоохранительная деятельность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40,000,00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D56400" w:rsidRDefault="00D56400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D56400" w:rsidRPr="007B1BE4" w:rsidTr="00D5640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927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Жилищно-коммунальное хозяйство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3 373 560,00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8146DE" w:rsidRDefault="008146DE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46DE">
              <w:rPr>
                <w:rFonts w:ascii="Times New Roman" w:hAnsi="Times New Roman"/>
                <w:bCs/>
                <w:sz w:val="18"/>
                <w:szCs w:val="18"/>
              </w:rPr>
              <w:t>133 985,27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8146DE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3,97</w:t>
            </w:r>
          </w:p>
        </w:tc>
      </w:tr>
      <w:tr w:rsidR="00D56400" w:rsidRPr="007B1BE4" w:rsidTr="00D5640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927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2 291 000,00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D56400" w:rsidRDefault="008146DE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46DE">
              <w:rPr>
                <w:rFonts w:ascii="Times New Roman" w:hAnsi="Times New Roman"/>
                <w:bCs/>
                <w:sz w:val="18"/>
                <w:szCs w:val="18"/>
              </w:rPr>
              <w:t>714 685,06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8146DE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31,20</w:t>
            </w:r>
          </w:p>
        </w:tc>
      </w:tr>
      <w:tr w:rsidR="00D56400" w:rsidRPr="007B1BE4" w:rsidTr="00D5640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927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D56400" w:rsidRDefault="00D56400" w:rsidP="009276D8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D56400" w:rsidP="00D564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45 200,00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6400" w:rsidRPr="00D56400" w:rsidRDefault="004748E6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48E6">
              <w:rPr>
                <w:rFonts w:ascii="Times New Roman" w:hAnsi="Times New Roman"/>
                <w:bCs/>
                <w:sz w:val="18"/>
                <w:szCs w:val="18"/>
              </w:rPr>
              <w:t>11 289,48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D56400" w:rsidRDefault="004748E6" w:rsidP="00D564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24,98</w:t>
            </w:r>
          </w:p>
        </w:tc>
      </w:tr>
      <w:tr w:rsidR="00D56400" w:rsidRPr="007B1BE4" w:rsidTr="00D5640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00" w:rsidRPr="007B1BE4" w:rsidRDefault="00D56400" w:rsidP="00927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00" w:rsidRPr="007B1BE4" w:rsidRDefault="00D56400" w:rsidP="009276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400" w:rsidRPr="004774E7" w:rsidRDefault="00D56400" w:rsidP="00D5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10 050 000,00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56400" w:rsidRPr="004774E7" w:rsidRDefault="00D56400" w:rsidP="00D5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1 842 694,10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400" w:rsidRPr="004774E7" w:rsidRDefault="00D56400" w:rsidP="00D5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18,34</w:t>
            </w:r>
          </w:p>
        </w:tc>
      </w:tr>
    </w:tbl>
    <w:p w:rsidR="005E0303" w:rsidRDefault="005E030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883" w:rsidRDefault="0000288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883" w:rsidRDefault="0000288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883" w:rsidRDefault="0000288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5D650A">
        <w:rPr>
          <w:rFonts w:ascii="Times New Roman" w:hAnsi="Times New Roman"/>
          <w:b/>
          <w:i/>
          <w:sz w:val="28"/>
          <w:szCs w:val="28"/>
        </w:rPr>
        <w:t>первый квартал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5E030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="005E030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="005E0303">
        <w:rPr>
          <w:rFonts w:ascii="Times New Roman" w:hAnsi="Times New Roman"/>
          <w:b/>
          <w:i/>
          <w:sz w:val="28"/>
          <w:szCs w:val="28"/>
        </w:rPr>
        <w:t>уб</w:t>
      </w:r>
      <w:proofErr w:type="spellEnd"/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007065" w:rsidRDefault="00C83C38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76950" cy="31527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</w:tcPr>
          <w:p w:rsidR="00FB3691" w:rsidRPr="00B36E9B" w:rsidRDefault="00B36E9B" w:rsidP="00C04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9B">
              <w:rPr>
                <w:rFonts w:ascii="Times New Roman" w:hAnsi="Times New Roman"/>
                <w:b/>
                <w:sz w:val="24"/>
                <w:szCs w:val="24"/>
              </w:rPr>
              <w:t>7 150,2</w:t>
            </w:r>
          </w:p>
        </w:tc>
        <w:tc>
          <w:tcPr>
            <w:tcW w:w="1561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1 267</w:t>
            </w:r>
            <w:r w:rsidR="00836A47" w:rsidRPr="00B36E9B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517" w:type="dxa"/>
          </w:tcPr>
          <w:p w:rsidR="00FB3691" w:rsidRPr="00B36E9B" w:rsidRDefault="00D201A0" w:rsidP="001A4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A47A2" w:rsidRPr="00B36E9B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FB3691" w:rsidRPr="00C0468B" w:rsidTr="001A47A2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</w:tcPr>
          <w:p w:rsidR="00FB3691" w:rsidRPr="00B36E9B" w:rsidRDefault="001A47A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</w:tcPr>
          <w:p w:rsidR="00FB3691" w:rsidRPr="00B36E9B" w:rsidRDefault="001A47A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691" w:rsidRPr="00C0468B" w:rsidTr="00D201A0">
        <w:trPr>
          <w:trHeight w:val="1078"/>
        </w:trPr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</w:tcPr>
          <w:p w:rsidR="00FB3691" w:rsidRPr="00B36E9B" w:rsidRDefault="004B50E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1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517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FB3691" w:rsidRPr="00C0468B" w:rsidTr="001A47A2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</w:tcPr>
          <w:p w:rsidR="00FB3691" w:rsidRPr="00B36E9B" w:rsidRDefault="004B50E2" w:rsidP="004B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1561" w:type="dxa"/>
          </w:tcPr>
          <w:p w:rsidR="00FB3691" w:rsidRPr="00B36E9B" w:rsidRDefault="004B50E2" w:rsidP="0083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17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C37BC" w:rsidRPr="00C0468B" w:rsidTr="001A47A2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</w:tcPr>
          <w:p w:rsidR="00DC37BC" w:rsidRPr="00B36E9B" w:rsidRDefault="001A47A2" w:rsidP="004B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</w:tcPr>
          <w:p w:rsidR="00DC37BC" w:rsidRPr="00B36E9B" w:rsidRDefault="001A47A2" w:rsidP="0083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DC37BC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</w:tcPr>
          <w:p w:rsidR="001A47A2" w:rsidRPr="00B36E9B" w:rsidRDefault="004B50E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1 455,7</w:t>
            </w:r>
          </w:p>
        </w:tc>
        <w:tc>
          <w:tcPr>
            <w:tcW w:w="1561" w:type="dxa"/>
          </w:tcPr>
          <w:p w:rsidR="001A47A2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418,6</w:t>
            </w:r>
          </w:p>
        </w:tc>
        <w:tc>
          <w:tcPr>
            <w:tcW w:w="1517" w:type="dxa"/>
          </w:tcPr>
          <w:p w:rsidR="001A47A2" w:rsidRPr="00B36E9B" w:rsidRDefault="00D201A0" w:rsidP="00B9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</w:tcPr>
          <w:p w:rsidR="001A47A2" w:rsidRPr="00B36E9B" w:rsidRDefault="004B50E2" w:rsidP="0083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2 291,0</w:t>
            </w:r>
          </w:p>
        </w:tc>
        <w:tc>
          <w:tcPr>
            <w:tcW w:w="1561" w:type="dxa"/>
          </w:tcPr>
          <w:p w:rsidR="001A47A2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517" w:type="dxa"/>
          </w:tcPr>
          <w:p w:rsidR="001A47A2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</w:tcPr>
          <w:p w:rsidR="001A47A2" w:rsidRPr="00B36E9B" w:rsidRDefault="00B36E9B" w:rsidP="003A16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6E9B">
              <w:rPr>
                <w:rFonts w:ascii="Times New Roman" w:hAnsi="Times New Roman"/>
                <w:b/>
                <w:sz w:val="24"/>
                <w:szCs w:val="28"/>
              </w:rPr>
              <w:t>2 8</w:t>
            </w:r>
            <w:r w:rsidR="003A1631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B36E9B">
              <w:rPr>
                <w:rFonts w:ascii="Times New Roman" w:hAnsi="Times New Roman"/>
                <w:b/>
                <w:sz w:val="24"/>
                <w:szCs w:val="28"/>
              </w:rPr>
              <w:t>9,8</w:t>
            </w:r>
          </w:p>
        </w:tc>
        <w:tc>
          <w:tcPr>
            <w:tcW w:w="1561" w:type="dxa"/>
          </w:tcPr>
          <w:p w:rsidR="001A47A2" w:rsidRPr="00B36E9B" w:rsidRDefault="007106F6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575,4</w:t>
            </w:r>
          </w:p>
        </w:tc>
        <w:tc>
          <w:tcPr>
            <w:tcW w:w="1517" w:type="dxa"/>
          </w:tcPr>
          <w:p w:rsidR="001A47A2" w:rsidRPr="00B36E9B" w:rsidRDefault="007106F6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19,8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242,8</w:t>
            </w:r>
          </w:p>
        </w:tc>
        <w:tc>
          <w:tcPr>
            <w:tcW w:w="1517" w:type="dxa"/>
          </w:tcPr>
          <w:p w:rsidR="001A47A2" w:rsidRPr="00C0468B" w:rsidRDefault="007106F6" w:rsidP="00A61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</w:tcPr>
          <w:p w:rsidR="001A47A2" w:rsidRPr="00C0468B" w:rsidRDefault="001A47A2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3A4D03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237,9</w:t>
            </w:r>
          </w:p>
        </w:tc>
        <w:tc>
          <w:tcPr>
            <w:tcW w:w="1517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1A47A2" w:rsidRPr="00C0468B" w:rsidTr="003A4D03">
        <w:trPr>
          <w:trHeight w:val="868"/>
        </w:trPr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</w:tcPr>
          <w:p w:rsidR="001A47A2" w:rsidRPr="00C0468B" w:rsidRDefault="001A47A2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A4D03">
              <w:rPr>
                <w:rFonts w:ascii="Times New Roman" w:hAnsi="Times New Roman"/>
              </w:rPr>
              <w:t>7</w:t>
            </w:r>
            <w:r w:rsidR="00960EB1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3A4D0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</w:tcPr>
          <w:p w:rsidR="001A47A2" w:rsidRDefault="003A4D03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</w:tcPr>
          <w:p w:rsidR="001A47A2" w:rsidRDefault="001A47A2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</w:tcPr>
          <w:p w:rsidR="001A47A2" w:rsidRPr="00C0468B" w:rsidRDefault="003A4D03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1A47A2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</w:tcPr>
          <w:p w:rsidR="003A4D03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1" w:type="dxa"/>
          </w:tcPr>
          <w:p w:rsidR="003A4D03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</w:tcPr>
          <w:p w:rsidR="003A4D03" w:rsidRPr="00C0468B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</w:tcPr>
          <w:p w:rsidR="001A47A2" w:rsidRPr="00C0468B" w:rsidRDefault="001A47A2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4D03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="003A4D03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</w:tcPr>
          <w:p w:rsidR="001A47A2" w:rsidRPr="00C0468B" w:rsidRDefault="007106F6" w:rsidP="00A4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517" w:type="dxa"/>
          </w:tcPr>
          <w:p w:rsidR="001A47A2" w:rsidRPr="00C0468B" w:rsidRDefault="007106F6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196" w:type="dxa"/>
          </w:tcPr>
          <w:p w:rsidR="001A47A2" w:rsidRPr="00C0468B" w:rsidRDefault="00960EB1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517" w:type="dxa"/>
          </w:tcPr>
          <w:p w:rsidR="001A47A2" w:rsidRPr="00C0468B" w:rsidRDefault="00960EB1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E24FCB">
        <w:rPr>
          <w:rFonts w:ascii="Times New Roman" w:hAnsi="Times New Roman"/>
          <w:b/>
          <w:i/>
          <w:sz w:val="28"/>
          <w:szCs w:val="28"/>
        </w:rPr>
        <w:t>первый квартал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002883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B6422F" w:rsidP="00A40C9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B6422F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B6422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B6422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117A7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E24FCB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117A7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117A78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E24FCB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17A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253,4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117A78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1 170,0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E24FCB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D41066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E24FCB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D41066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1 701,6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56F7A" w:rsidP="00EC5441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480,7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F56F7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56F7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F56F7A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418,6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56F7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714,7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E24FCB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56F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56F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42,7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260E"/>
    <w:rsid w:val="00032946"/>
    <w:rsid w:val="00034BA3"/>
    <w:rsid w:val="00080F29"/>
    <w:rsid w:val="000A4EDF"/>
    <w:rsid w:val="000C768F"/>
    <w:rsid w:val="00100E03"/>
    <w:rsid w:val="00105910"/>
    <w:rsid w:val="001107E4"/>
    <w:rsid w:val="00117A78"/>
    <w:rsid w:val="00124886"/>
    <w:rsid w:val="00134C05"/>
    <w:rsid w:val="00143C7E"/>
    <w:rsid w:val="001954DF"/>
    <w:rsid w:val="0019769F"/>
    <w:rsid w:val="00197A07"/>
    <w:rsid w:val="00197DFD"/>
    <w:rsid w:val="001A1F8D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74EBC"/>
    <w:rsid w:val="00282947"/>
    <w:rsid w:val="00283593"/>
    <w:rsid w:val="0029039B"/>
    <w:rsid w:val="002A1E7A"/>
    <w:rsid w:val="002A211A"/>
    <w:rsid w:val="002A3A82"/>
    <w:rsid w:val="002C3137"/>
    <w:rsid w:val="002C5410"/>
    <w:rsid w:val="002E18E6"/>
    <w:rsid w:val="00301127"/>
    <w:rsid w:val="00303F91"/>
    <w:rsid w:val="00316C33"/>
    <w:rsid w:val="003201BE"/>
    <w:rsid w:val="00324467"/>
    <w:rsid w:val="00341E5F"/>
    <w:rsid w:val="00364287"/>
    <w:rsid w:val="00365958"/>
    <w:rsid w:val="00392594"/>
    <w:rsid w:val="003A1631"/>
    <w:rsid w:val="003A4D03"/>
    <w:rsid w:val="003C15B8"/>
    <w:rsid w:val="003C73F0"/>
    <w:rsid w:val="003E11ED"/>
    <w:rsid w:val="003F6C46"/>
    <w:rsid w:val="00401809"/>
    <w:rsid w:val="00405892"/>
    <w:rsid w:val="004137C5"/>
    <w:rsid w:val="00431157"/>
    <w:rsid w:val="00431EBC"/>
    <w:rsid w:val="00437A94"/>
    <w:rsid w:val="004418FE"/>
    <w:rsid w:val="00454E1B"/>
    <w:rsid w:val="004602C8"/>
    <w:rsid w:val="00461F79"/>
    <w:rsid w:val="004629D4"/>
    <w:rsid w:val="004748E6"/>
    <w:rsid w:val="004774E7"/>
    <w:rsid w:val="00483A8B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F0EA7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D650A"/>
    <w:rsid w:val="005E0303"/>
    <w:rsid w:val="005F6A0A"/>
    <w:rsid w:val="00604395"/>
    <w:rsid w:val="00630FFC"/>
    <w:rsid w:val="0063585D"/>
    <w:rsid w:val="006530BC"/>
    <w:rsid w:val="0066502F"/>
    <w:rsid w:val="006654C7"/>
    <w:rsid w:val="00673A2E"/>
    <w:rsid w:val="00691BCE"/>
    <w:rsid w:val="006A14DB"/>
    <w:rsid w:val="006A4994"/>
    <w:rsid w:val="006B0C5E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408A8"/>
    <w:rsid w:val="00747ED3"/>
    <w:rsid w:val="00751480"/>
    <w:rsid w:val="007540AD"/>
    <w:rsid w:val="007563B4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F62B2"/>
    <w:rsid w:val="008146DE"/>
    <w:rsid w:val="00821A3F"/>
    <w:rsid w:val="00833531"/>
    <w:rsid w:val="00833DA6"/>
    <w:rsid w:val="008348E1"/>
    <w:rsid w:val="00835BB6"/>
    <w:rsid w:val="00836A47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901EA5"/>
    <w:rsid w:val="00920D2E"/>
    <w:rsid w:val="00924ACE"/>
    <w:rsid w:val="009276D8"/>
    <w:rsid w:val="009520E7"/>
    <w:rsid w:val="00952ACD"/>
    <w:rsid w:val="009603DF"/>
    <w:rsid w:val="00960EB1"/>
    <w:rsid w:val="00962773"/>
    <w:rsid w:val="00974B30"/>
    <w:rsid w:val="00981B8D"/>
    <w:rsid w:val="009836D5"/>
    <w:rsid w:val="00997A4A"/>
    <w:rsid w:val="009C2116"/>
    <w:rsid w:val="009E3C2B"/>
    <w:rsid w:val="009E3C46"/>
    <w:rsid w:val="009E7DEF"/>
    <w:rsid w:val="00A02555"/>
    <w:rsid w:val="00A04D0B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36E9B"/>
    <w:rsid w:val="00B52C0D"/>
    <w:rsid w:val="00B5764A"/>
    <w:rsid w:val="00B60412"/>
    <w:rsid w:val="00B6422F"/>
    <w:rsid w:val="00B736A7"/>
    <w:rsid w:val="00B74D4B"/>
    <w:rsid w:val="00B9036E"/>
    <w:rsid w:val="00B9696B"/>
    <w:rsid w:val="00BA017C"/>
    <w:rsid w:val="00BB261A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3C38"/>
    <w:rsid w:val="00CA07CC"/>
    <w:rsid w:val="00CB5045"/>
    <w:rsid w:val="00CD2548"/>
    <w:rsid w:val="00CD4DB2"/>
    <w:rsid w:val="00CE27C2"/>
    <w:rsid w:val="00D17CB1"/>
    <w:rsid w:val="00D201A0"/>
    <w:rsid w:val="00D41066"/>
    <w:rsid w:val="00D45535"/>
    <w:rsid w:val="00D51628"/>
    <w:rsid w:val="00D56400"/>
    <w:rsid w:val="00D7412D"/>
    <w:rsid w:val="00D80052"/>
    <w:rsid w:val="00DC3753"/>
    <w:rsid w:val="00DC37BC"/>
    <w:rsid w:val="00DC3E09"/>
    <w:rsid w:val="00DD29DC"/>
    <w:rsid w:val="00DE1F39"/>
    <w:rsid w:val="00DF710D"/>
    <w:rsid w:val="00E06F9D"/>
    <w:rsid w:val="00E14E58"/>
    <w:rsid w:val="00E24FCB"/>
    <w:rsid w:val="00E56024"/>
    <w:rsid w:val="00E57187"/>
    <w:rsid w:val="00E7177E"/>
    <w:rsid w:val="00E929EF"/>
    <w:rsid w:val="00EB0728"/>
    <w:rsid w:val="00EB274A"/>
    <w:rsid w:val="00EC5441"/>
    <w:rsid w:val="00ED5273"/>
    <w:rsid w:val="00ED5B80"/>
    <w:rsid w:val="00EE5B5D"/>
    <w:rsid w:val="00EF484D"/>
    <w:rsid w:val="00F0114F"/>
    <w:rsid w:val="00F24C65"/>
    <w:rsid w:val="00F36F64"/>
    <w:rsid w:val="00F451DC"/>
    <w:rsid w:val="00F56F7A"/>
    <w:rsid w:val="00F616B8"/>
    <w:rsid w:val="00F66074"/>
    <w:rsid w:val="00F66826"/>
    <w:rsid w:val="00F878F6"/>
    <w:rsid w:val="00F97C98"/>
    <w:rsid w:val="00FA1E73"/>
    <w:rsid w:val="00FA3366"/>
    <w:rsid w:val="00FB3691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277E-2"/>
          <c:y val="3.9156626506024111E-2"/>
          <c:w val="0.67184801381692605"/>
          <c:h val="0.852409638554217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70535493214E-2"/>
                  <c:y val="-4.4867822350783591E-2"/>
                </c:manualLayout>
              </c:layout>
              <c:showVal val="1"/>
            </c:dLbl>
            <c:dLbl>
              <c:idx val="1"/>
              <c:layout>
                <c:manualLayout>
                  <c:x val="1.1441204331367829E-2"/>
                  <c:y val="-1.272984187059052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квартал 2020 год</c:v>
                </c:pt>
                <c:pt idx="1">
                  <c:v>1 квартал 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1600.9</c:v>
                </c:pt>
                <c:pt idx="1">
                  <c:v>1701.6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789E-2"/>
                  <c:y val="-4.5584855422981262E-2"/>
                </c:manualLayout>
              </c:layout>
              <c:showVal val="1"/>
            </c:dLbl>
            <c:dLbl>
              <c:idx val="1"/>
              <c:layout>
                <c:manualLayout>
                  <c:x val="3.5737905185472908E-2"/>
                  <c:y val="-1.953775964011684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квартал 2020 год</c:v>
                </c:pt>
                <c:pt idx="1">
                  <c:v>1 квартал 2021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1846</c:v>
                </c:pt>
                <c:pt idx="1">
                  <c:v>1842.7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03763799892154E-2"/>
                  <c:y val="8.3003158741703331E-2"/>
                </c:manualLayout>
              </c:layout>
              <c:showVal val="1"/>
            </c:dLbl>
            <c:dLbl>
              <c:idx val="1"/>
              <c:layout>
                <c:manualLayout>
                  <c:x val="3.5353300253005586E-2"/>
                  <c:y val="8.293637042991693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квартал 2020 год</c:v>
                </c:pt>
                <c:pt idx="1">
                  <c:v>1 квартал 2021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-245.1</c:v>
                </c:pt>
                <c:pt idx="1">
                  <c:v>-141.1</c:v>
                </c:pt>
              </c:numCache>
            </c:numRef>
          </c:val>
        </c:ser>
        <c:gapDepth val="0"/>
        <c:shape val="box"/>
        <c:axId val="65619840"/>
        <c:axId val="65644032"/>
        <c:axId val="0"/>
      </c:bar3DChart>
      <c:catAx>
        <c:axId val="65619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644032"/>
        <c:crosses val="autoZero"/>
        <c:auto val="1"/>
        <c:lblAlgn val="ctr"/>
        <c:lblOffset val="100"/>
        <c:tickLblSkip val="1"/>
        <c:tickMarkSkip val="1"/>
      </c:catAx>
      <c:valAx>
        <c:axId val="65644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61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585"/>
          <c:y val="0.28915662650602403"/>
          <c:w val="0.20898100172711581"/>
          <c:h val="0.34036144578313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364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2073E-2"/>
                  <c:y val="-2.744503397096487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88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83"/>
                  <c:y val="0.27556995319227245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0.10850000000000001</c:v>
                </c:pt>
                <c:pt idx="1">
                  <c:v>0.1133</c:v>
                </c:pt>
                <c:pt idx="2">
                  <c:v>2.07E-2</c:v>
                </c:pt>
                <c:pt idx="3">
                  <c:v>1.7000000000000001E-3</c:v>
                </c:pt>
                <c:pt idx="4">
                  <c:v>1.9199999999999998E-2</c:v>
                </c:pt>
                <c:pt idx="6">
                  <c:v>0</c:v>
                </c:pt>
                <c:pt idx="7">
                  <c:v>0.73660000000000014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02"/>
          <c:y val="0.63700828572898971"/>
          <c:w val="0.6191247974068077"/>
          <c:h val="0.341317365269461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031E-2"/>
          <c:y val="3.1914893617021281E-2"/>
          <c:w val="0.89895470383275256"/>
          <c:h val="0.744680851063830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84236722331633E-3"/>
                  <c:y val="0.17716493358761526"/>
                </c:manualLayout>
              </c:layout>
              <c:showVal val="1"/>
            </c:dLbl>
            <c:dLbl>
              <c:idx val="1"/>
              <c:layout>
                <c:manualLayout>
                  <c:x val="4.7179263801571926E-4"/>
                  <c:y val="0.20118425411046842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квартал 2020года</c:v>
                </c:pt>
                <c:pt idx="1">
                  <c:v>1 квартал 2021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405.1</c:v>
                </c:pt>
                <c:pt idx="1">
                  <c:v>412.7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91E-2"/>
                </c:manualLayout>
              </c:layout>
              <c:showVal val="1"/>
            </c:dLbl>
            <c:dLbl>
              <c:idx val="1"/>
              <c:layout>
                <c:manualLayout>
                  <c:x val="3.4302888467040576E-2"/>
                  <c:y val="-3.6274633551889477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квартал 2020года</c:v>
                </c:pt>
                <c:pt idx="1">
                  <c:v>1 квартал 2021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39.300000000000011</c:v>
                </c:pt>
                <c:pt idx="1">
                  <c:v>35.5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1 квартал 2020года</c:v>
                </c:pt>
                <c:pt idx="1">
                  <c:v>1 квартал 2021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1156.5</c:v>
                </c:pt>
                <c:pt idx="1">
                  <c:v>1253.4000000000001</c:v>
                </c:pt>
              </c:numCache>
            </c:numRef>
          </c:val>
        </c:ser>
        <c:gapDepth val="0"/>
        <c:shape val="box"/>
        <c:axId val="111720320"/>
        <c:axId val="111721856"/>
        <c:axId val="0"/>
      </c:bar3DChart>
      <c:catAx>
        <c:axId val="111720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721856"/>
        <c:crosses val="autoZero"/>
        <c:auto val="1"/>
        <c:lblAlgn val="ctr"/>
        <c:lblOffset val="100"/>
        <c:tickLblSkip val="1"/>
        <c:tickMarkSkip val="1"/>
      </c:catAx>
      <c:valAx>
        <c:axId val="111721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2032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53"/>
          <c:y val="0.9042553191489362"/>
          <c:w val="0.75783972125435561"/>
          <c:h val="8.510638297872349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471337579617847"/>
          <c:y val="0.15887850467289721"/>
          <c:w val="0.64968152866242079"/>
          <c:h val="0.504672897196261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34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1.2239979272203038E-2"/>
                  <c:y val="-0.1097620350326300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6.0926747688076925E-2"/>
                  <c:y val="-8.9796013406673272E-2"/>
                </c:manualLayout>
              </c:layout>
              <c:dLblPos val="bestFit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25399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Sheet1!$B$1:$G$1</c:f>
              <c:strCache>
                <c:ptCount val="6"/>
                <c:pt idx="0">
                  <c:v>Администрация поселения</c:v>
                </c:pt>
                <c:pt idx="1">
                  <c:v>АХУ</c:v>
                </c:pt>
                <c:pt idx="2">
                  <c:v>Культура</c:v>
                </c:pt>
                <c:pt idx="3">
                  <c:v>благоустройство</c:v>
                </c:pt>
                <c:pt idx="4">
                  <c:v>ВУС</c:v>
                </c:pt>
                <c:pt idx="5">
                  <c:v>Пенс.обеспечение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480.8</c:v>
                </c:pt>
                <c:pt idx="1">
                  <c:v>418.6</c:v>
                </c:pt>
                <c:pt idx="2">
                  <c:v>714.7</c:v>
                </c:pt>
                <c:pt idx="3">
                  <c:v>134</c:v>
                </c:pt>
                <c:pt idx="4">
                  <c:v>83.4</c:v>
                </c:pt>
                <c:pt idx="5" formatCode="#,##0">
                  <c:v>11.3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6927076905355481E-2"/>
          <c:y val="0.78918793761051775"/>
          <c:w val="0.9219662824278626"/>
          <c:h val="0.201466327283107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24</cp:revision>
  <cp:lastPrinted>2013-11-11T04:12:00Z</cp:lastPrinted>
  <dcterms:created xsi:type="dcterms:W3CDTF">2021-04-16T01:32:00Z</dcterms:created>
  <dcterms:modified xsi:type="dcterms:W3CDTF">2021-04-16T03:00:00Z</dcterms:modified>
</cp:coreProperties>
</file>